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jc w:val="center"/>
        <w:rPr>
          <w:rFonts w:ascii="宋体" w:hAnsi="宋体" w:eastAsia="宋体" w:cs="宋体"/>
          <w:b/>
          <w:kern w:val="0"/>
          <w:sz w:val="30"/>
          <w:szCs w:val="30"/>
        </w:rPr>
      </w:pPr>
      <w:bookmarkStart w:id="0" w:name="_Toc384055626"/>
      <w:r>
        <w:rPr>
          <w:rFonts w:hint="eastAsia" w:ascii="宋体" w:hAnsi="宋体" w:eastAsia="宋体" w:cs="宋体"/>
          <w:b/>
          <w:kern w:val="0"/>
          <w:sz w:val="30"/>
          <w:szCs w:val="30"/>
        </w:rPr>
        <w:t>温县农林局2016年区域沼气服务站建设项目询价公告</w:t>
      </w:r>
      <w:bookmarkEnd w:id="0"/>
    </w:p>
    <w:p>
      <w:pPr>
        <w:spacing w:line="480" w:lineRule="exact"/>
        <w:rPr>
          <w:rFonts w:ascii="宋体" w:hAnsi="宋体" w:eastAsia="宋体" w:cs="宋体"/>
          <w:szCs w:val="21"/>
        </w:rPr>
      </w:pPr>
      <w:r>
        <w:rPr>
          <w:rFonts w:hint="eastAsia" w:ascii="宋体" w:hAnsi="宋体" w:eastAsia="宋体" w:cs="宋体"/>
          <w:sz w:val="24"/>
        </w:rPr>
        <w:t xml:space="preserve">    </w:t>
      </w:r>
      <w:r>
        <w:rPr>
          <w:rFonts w:hint="eastAsia" w:ascii="宋体" w:hAnsi="宋体" w:eastAsia="宋体" w:cs="宋体"/>
          <w:szCs w:val="21"/>
        </w:rPr>
        <w:t>河南求实工程造价咨询有限公司受温县农林局委托，就温县农林局2016年区域沼气服务站建设项目以询价方式进行采购，现欢迎符合相关条件的供应商参加询价。</w:t>
      </w:r>
    </w:p>
    <w:p>
      <w:pPr>
        <w:spacing w:line="480" w:lineRule="exact"/>
        <w:rPr>
          <w:rFonts w:ascii="宋体" w:hAnsi="宋体" w:eastAsia="宋体" w:cs="宋体"/>
          <w:szCs w:val="21"/>
        </w:rPr>
      </w:pPr>
      <w:r>
        <w:rPr>
          <w:rFonts w:hint="eastAsia" w:ascii="宋体" w:hAnsi="宋体" w:eastAsia="宋体" w:cs="宋体"/>
          <w:szCs w:val="21"/>
        </w:rPr>
        <w:t xml:space="preserve">    一、采购项目名称：温县农林局2016年区域沼气服务站建设项目</w:t>
      </w:r>
    </w:p>
    <w:p>
      <w:pPr>
        <w:spacing w:line="480" w:lineRule="exact"/>
        <w:rPr>
          <w:rFonts w:ascii="宋体" w:hAnsi="宋体" w:eastAsia="宋体" w:cs="宋体"/>
          <w:szCs w:val="21"/>
        </w:rPr>
      </w:pPr>
      <w:r>
        <w:rPr>
          <w:rFonts w:hint="eastAsia" w:ascii="宋体" w:hAnsi="宋体" w:eastAsia="宋体" w:cs="宋体"/>
          <w:szCs w:val="21"/>
        </w:rPr>
        <w:t xml:space="preserve">    二、项目编号：</w:t>
      </w:r>
      <w:r>
        <w:rPr>
          <w:rFonts w:hint="eastAsia" w:ascii="宋体" w:hAnsi="宋体" w:eastAsia="宋体" w:cs="宋体"/>
          <w:bCs/>
          <w:szCs w:val="21"/>
        </w:rPr>
        <w:t>温交易[2016]167号              采购编号：温政采[2016]146号</w:t>
      </w:r>
    </w:p>
    <w:p>
      <w:pPr>
        <w:spacing w:line="480" w:lineRule="exact"/>
        <w:rPr>
          <w:rFonts w:ascii="宋体" w:hAnsi="宋体" w:eastAsia="宋体" w:cs="宋体"/>
          <w:szCs w:val="21"/>
        </w:rPr>
      </w:pPr>
      <w:r>
        <w:rPr>
          <w:rFonts w:hint="eastAsia" w:ascii="宋体" w:hAnsi="宋体" w:eastAsia="宋体" w:cs="宋体"/>
          <w:szCs w:val="21"/>
        </w:rPr>
        <w:t xml:space="preserve">    三、采购项目简要说明：采购抽渣车、进料机动三轮车。</w:t>
      </w:r>
    </w:p>
    <w:p>
      <w:pPr>
        <w:spacing w:line="480" w:lineRule="exact"/>
        <w:ind w:firstLine="420" w:firstLineChars="200"/>
        <w:rPr>
          <w:rFonts w:ascii="宋体" w:hAnsi="宋体" w:eastAsia="宋体" w:cs="宋体"/>
          <w:b/>
          <w:kern w:val="0"/>
          <w:szCs w:val="21"/>
        </w:rPr>
      </w:pPr>
      <w:r>
        <w:rPr>
          <w:rFonts w:hint="eastAsia" w:ascii="宋体" w:hAnsi="宋体" w:eastAsia="宋体" w:cs="宋体"/>
          <w:szCs w:val="21"/>
        </w:rPr>
        <w:t xml:space="preserve">    报价单格式如下</w:t>
      </w:r>
      <w:r>
        <w:rPr>
          <w:rFonts w:hint="eastAsia" w:ascii="宋体" w:hAnsi="宋体" w:eastAsia="宋体" w:cs="宋体"/>
          <w:b/>
          <w:bCs/>
          <w:szCs w:val="21"/>
        </w:rPr>
        <w:t>（预算价65800.00元）</w:t>
      </w:r>
      <w:r>
        <w:rPr>
          <w:rFonts w:hint="eastAsia" w:ascii="宋体" w:hAnsi="宋体" w:eastAsia="宋体" w:cs="宋体"/>
          <w:szCs w:val="21"/>
        </w:rPr>
        <w:t>：</w:t>
      </w:r>
    </w:p>
    <w:p>
      <w:pPr>
        <w:widowControl/>
        <w:spacing w:line="360" w:lineRule="auto"/>
        <w:jc w:val="center"/>
        <w:rPr>
          <w:rFonts w:ascii="宋体" w:hAnsi="宋体" w:eastAsia="宋体" w:cs="宋体"/>
          <w:b/>
          <w:kern w:val="0"/>
          <w:sz w:val="24"/>
        </w:rPr>
      </w:pPr>
      <w:r>
        <w:rPr>
          <w:rFonts w:hint="eastAsia" w:ascii="宋体" w:hAnsi="宋体" w:eastAsia="宋体" w:cs="宋体"/>
          <w:b/>
          <w:kern w:val="0"/>
          <w:sz w:val="24"/>
        </w:rPr>
        <w:t>温县农林局2016年区域沼气服务站建设项目报价单</w:t>
      </w:r>
    </w:p>
    <w:tbl>
      <w:tblPr>
        <w:tblW w:w="8366"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30" w:type="dxa"/>
          <w:right w:w="30" w:type="dxa"/>
        </w:tblCellMar>
      </w:tblPr>
      <w:tblGrid>
        <w:gridCol w:w="570"/>
        <w:gridCol w:w="1899"/>
        <w:gridCol w:w="2241"/>
        <w:gridCol w:w="720"/>
        <w:gridCol w:w="741"/>
        <w:gridCol w:w="1058"/>
        <w:gridCol w:w="1137"/>
      </w:tblGrid>
      <w:tr>
        <w:trPr>
          <w:cantSplit/>
          <w:trHeight w:val="474" w:hRule="atLeast"/>
          <w:jc w:val="center"/>
        </w:trPr>
        <w:tc>
          <w:tcPr>
            <w:tcW w:w="570" w:type="dxa"/>
            <w:tcBorders>
              <w:top w:val="single" w:color="auto" w:sz="4" w:space="0"/>
              <w:left w:val="single" w:color="auto" w:sz="4" w:space="0"/>
              <w:bottom w:val="single" w:color="000000" w:sz="6" w:space="0"/>
              <w:right w:val="single" w:color="auto" w:sz="4" w:space="0"/>
            </w:tcBorders>
            <w:vAlign w:val="center"/>
          </w:tcPr>
          <w:p>
            <w:pPr>
              <w:autoSpaceDE w:val="0"/>
              <w:autoSpaceDN w:val="0"/>
              <w:spacing w:line="360" w:lineRule="auto"/>
              <w:jc w:val="center"/>
              <w:rPr>
                <w:rFonts w:ascii="宋体" w:hAnsi="宋体" w:eastAsia="宋体" w:cs="宋体"/>
                <w:bCs/>
                <w:szCs w:val="21"/>
              </w:rPr>
            </w:pPr>
            <w:r>
              <w:rPr>
                <w:rFonts w:hint="eastAsia" w:ascii="宋体" w:hAnsi="宋体" w:eastAsia="宋体" w:cs="宋体"/>
                <w:bCs/>
                <w:szCs w:val="21"/>
              </w:rPr>
              <w:t>序号</w:t>
            </w:r>
          </w:p>
        </w:tc>
        <w:tc>
          <w:tcPr>
            <w:tcW w:w="1899" w:type="dxa"/>
            <w:tcBorders>
              <w:top w:val="single" w:color="auto" w:sz="4" w:space="0"/>
              <w:left w:val="single" w:color="auto" w:sz="4" w:space="0"/>
              <w:bottom w:val="single" w:color="000000" w:sz="6" w:space="0"/>
              <w:right w:val="single" w:color="auto" w:sz="4" w:space="0"/>
            </w:tcBorders>
            <w:vAlign w:val="center"/>
          </w:tcPr>
          <w:p>
            <w:pPr>
              <w:autoSpaceDE w:val="0"/>
              <w:autoSpaceDN w:val="0"/>
              <w:spacing w:line="360" w:lineRule="auto"/>
              <w:ind w:firstLine="210" w:firstLineChars="100"/>
              <w:jc w:val="center"/>
              <w:rPr>
                <w:rFonts w:ascii="宋体" w:hAnsi="宋体" w:eastAsia="宋体" w:cs="宋体"/>
                <w:bCs/>
                <w:szCs w:val="21"/>
              </w:rPr>
            </w:pPr>
            <w:r>
              <w:rPr>
                <w:rFonts w:hint="eastAsia" w:ascii="宋体" w:hAnsi="宋体" w:eastAsia="宋体" w:cs="宋体"/>
                <w:bCs/>
                <w:szCs w:val="21"/>
              </w:rPr>
              <w:t>设备名称</w:t>
            </w:r>
          </w:p>
        </w:tc>
        <w:tc>
          <w:tcPr>
            <w:tcW w:w="2241" w:type="dxa"/>
            <w:tcBorders>
              <w:top w:val="single" w:color="auto" w:sz="4" w:space="0"/>
              <w:left w:val="single" w:color="auto" w:sz="4" w:space="0"/>
              <w:bottom w:val="single" w:color="000000" w:sz="6" w:space="0"/>
              <w:right w:val="single" w:color="auto" w:sz="4" w:space="0"/>
            </w:tcBorders>
            <w:vAlign w:val="center"/>
          </w:tcPr>
          <w:p>
            <w:pPr>
              <w:widowControl/>
              <w:jc w:val="center"/>
              <w:rPr>
                <w:rFonts w:ascii="宋体" w:hAnsi="宋体" w:eastAsia="宋体" w:cs="宋体"/>
                <w:bCs/>
                <w:szCs w:val="21"/>
              </w:rPr>
            </w:pPr>
            <w:r>
              <w:rPr>
                <w:rFonts w:hint="eastAsia" w:ascii="宋体" w:hAnsi="宋体" w:eastAsia="宋体" w:cs="宋体"/>
                <w:bCs/>
                <w:szCs w:val="21"/>
              </w:rPr>
              <w:t>品牌型号及技术参数</w:t>
            </w:r>
          </w:p>
        </w:tc>
        <w:tc>
          <w:tcPr>
            <w:tcW w:w="720" w:type="dxa"/>
            <w:tcBorders>
              <w:top w:val="single" w:color="auto" w:sz="4" w:space="0"/>
              <w:left w:val="single" w:color="auto" w:sz="4" w:space="0"/>
              <w:bottom w:val="single" w:color="000000" w:sz="6" w:space="0"/>
              <w:right w:val="single" w:color="auto" w:sz="4" w:space="0"/>
            </w:tcBorders>
            <w:vAlign w:val="center"/>
          </w:tcPr>
          <w:p>
            <w:pPr>
              <w:autoSpaceDE w:val="0"/>
              <w:autoSpaceDN w:val="0"/>
              <w:spacing w:line="360" w:lineRule="auto"/>
              <w:jc w:val="center"/>
              <w:rPr>
                <w:rFonts w:ascii="宋体" w:hAnsi="宋体" w:eastAsia="宋体" w:cs="宋体"/>
                <w:bCs/>
                <w:szCs w:val="21"/>
              </w:rPr>
            </w:pPr>
            <w:r>
              <w:rPr>
                <w:rFonts w:hint="eastAsia" w:ascii="宋体" w:hAnsi="宋体" w:eastAsia="宋体" w:cs="宋体"/>
                <w:bCs/>
                <w:szCs w:val="21"/>
              </w:rPr>
              <w:t>单位</w:t>
            </w:r>
          </w:p>
        </w:tc>
        <w:tc>
          <w:tcPr>
            <w:tcW w:w="741" w:type="dxa"/>
            <w:tcBorders>
              <w:top w:val="single" w:color="auto" w:sz="4" w:space="0"/>
              <w:left w:val="single" w:color="auto" w:sz="4" w:space="0"/>
              <w:bottom w:val="single" w:color="000000" w:sz="6" w:space="0"/>
              <w:right w:val="single" w:color="auto" w:sz="4" w:space="0"/>
            </w:tcBorders>
            <w:vAlign w:val="center"/>
          </w:tcPr>
          <w:p>
            <w:pPr>
              <w:autoSpaceDE w:val="0"/>
              <w:autoSpaceDN w:val="0"/>
              <w:spacing w:line="360" w:lineRule="auto"/>
              <w:jc w:val="center"/>
              <w:rPr>
                <w:rFonts w:ascii="宋体" w:hAnsi="宋体" w:eastAsia="宋体" w:cs="宋体"/>
                <w:bCs/>
                <w:szCs w:val="21"/>
              </w:rPr>
            </w:pPr>
            <w:r>
              <w:rPr>
                <w:rFonts w:hint="eastAsia" w:ascii="宋体" w:hAnsi="宋体" w:eastAsia="宋体" w:cs="宋体"/>
                <w:bCs/>
                <w:szCs w:val="21"/>
              </w:rPr>
              <w:t>数量</w:t>
            </w:r>
          </w:p>
        </w:tc>
        <w:tc>
          <w:tcPr>
            <w:tcW w:w="1058" w:type="dxa"/>
            <w:tcBorders>
              <w:top w:val="single" w:color="auto" w:sz="4" w:space="0"/>
              <w:left w:val="single" w:color="auto" w:sz="4" w:space="0"/>
              <w:bottom w:val="single" w:color="000000" w:sz="6" w:space="0"/>
              <w:right w:val="single" w:color="auto" w:sz="4" w:space="0"/>
            </w:tcBorders>
            <w:vAlign w:val="center"/>
          </w:tcPr>
          <w:p>
            <w:pPr>
              <w:autoSpaceDE w:val="0"/>
              <w:autoSpaceDN w:val="0"/>
              <w:spacing w:line="360" w:lineRule="auto"/>
              <w:jc w:val="center"/>
              <w:rPr>
                <w:rFonts w:ascii="宋体" w:hAnsi="宋体" w:eastAsia="宋体" w:cs="宋体"/>
                <w:bCs/>
                <w:szCs w:val="21"/>
              </w:rPr>
            </w:pPr>
            <w:r>
              <w:rPr>
                <w:rFonts w:hint="eastAsia" w:ascii="宋体" w:hAnsi="宋体" w:eastAsia="宋体" w:cs="宋体"/>
                <w:bCs/>
                <w:szCs w:val="21"/>
              </w:rPr>
              <w:t>单价</w:t>
            </w:r>
          </w:p>
        </w:tc>
        <w:tc>
          <w:tcPr>
            <w:tcW w:w="1137" w:type="dxa"/>
            <w:tcBorders>
              <w:top w:val="single" w:color="auto" w:sz="4" w:space="0"/>
              <w:left w:val="single" w:color="auto" w:sz="4" w:space="0"/>
              <w:bottom w:val="single" w:color="000000" w:sz="6" w:space="0"/>
              <w:right w:val="single" w:color="auto" w:sz="4" w:space="0"/>
            </w:tcBorders>
            <w:vAlign w:val="center"/>
          </w:tcPr>
          <w:p>
            <w:pPr>
              <w:autoSpaceDE w:val="0"/>
              <w:autoSpaceDN w:val="0"/>
              <w:spacing w:line="360" w:lineRule="auto"/>
              <w:jc w:val="center"/>
              <w:rPr>
                <w:rFonts w:ascii="宋体" w:hAnsi="宋体" w:eastAsia="宋体" w:cs="宋体"/>
                <w:bCs/>
                <w:szCs w:val="21"/>
              </w:rPr>
            </w:pPr>
            <w:r>
              <w:rPr>
                <w:rFonts w:hint="eastAsia" w:ascii="宋体" w:hAnsi="宋体" w:eastAsia="宋体" w:cs="宋体"/>
                <w:bCs/>
                <w:szCs w:val="21"/>
              </w:rPr>
              <w:t>合计</w:t>
            </w:r>
          </w:p>
        </w:tc>
      </w:tr>
      <w:tr>
        <w:trPr>
          <w:cantSplit/>
          <w:trHeight w:val="474" w:hRule="atLeast"/>
          <w:jc w:val="center"/>
        </w:trPr>
        <w:tc>
          <w:tcPr>
            <w:tcW w:w="570" w:type="dxa"/>
            <w:tcBorders>
              <w:top w:val="single" w:color="000000" w:sz="6" w:space="0"/>
              <w:left w:val="single" w:color="000000" w:sz="6" w:space="0"/>
              <w:right w:val="single" w:color="auto" w:sz="4" w:space="0"/>
            </w:tcBorders>
            <w:vAlign w:val="center"/>
          </w:tcPr>
          <w:p>
            <w:pPr>
              <w:autoSpaceDE w:val="0"/>
              <w:autoSpaceDN w:val="0"/>
              <w:spacing w:line="360" w:lineRule="auto"/>
              <w:jc w:val="center"/>
              <w:rPr>
                <w:rFonts w:ascii="宋体" w:hAnsi="宋体" w:eastAsia="宋体" w:cs="宋体"/>
                <w:szCs w:val="21"/>
              </w:rPr>
            </w:pPr>
            <w:r>
              <w:rPr>
                <w:rFonts w:hint="eastAsia" w:ascii="宋体" w:hAnsi="宋体" w:eastAsia="宋体" w:cs="宋体"/>
                <w:szCs w:val="21"/>
              </w:rPr>
              <w:t>1</w:t>
            </w:r>
          </w:p>
        </w:tc>
        <w:tc>
          <w:tcPr>
            <w:tcW w:w="1899" w:type="dxa"/>
            <w:tcBorders>
              <w:top w:val="single" w:color="000000" w:sz="6" w:space="0"/>
              <w:left w:val="single" w:color="auto" w:sz="4" w:space="0"/>
              <w:right w:val="single" w:color="000000" w:sz="6" w:space="0"/>
            </w:tcBorders>
            <w:vAlign w:val="center"/>
          </w:tcPr>
          <w:p>
            <w:pPr>
              <w:spacing w:line="360" w:lineRule="auto"/>
              <w:jc w:val="center"/>
              <w:rPr>
                <w:rFonts w:ascii="宋体" w:hAnsi="宋体" w:eastAsia="宋体" w:cs="宋体"/>
                <w:szCs w:val="21"/>
              </w:rPr>
            </w:pPr>
          </w:p>
        </w:tc>
        <w:tc>
          <w:tcPr>
            <w:tcW w:w="2241" w:type="dxa"/>
            <w:tcBorders>
              <w:top w:val="single" w:color="000000" w:sz="6" w:space="0"/>
              <w:left w:val="single" w:color="000000" w:sz="6" w:space="0"/>
              <w:bottom w:val="single" w:color="000000" w:sz="6" w:space="0"/>
              <w:right w:val="single" w:color="auto" w:sz="4" w:space="0"/>
            </w:tcBorders>
            <w:vAlign w:val="center"/>
          </w:tcPr>
          <w:p>
            <w:pPr>
              <w:autoSpaceDE w:val="0"/>
              <w:autoSpaceDN w:val="0"/>
              <w:spacing w:line="360" w:lineRule="auto"/>
              <w:jc w:val="center"/>
              <w:rPr>
                <w:rFonts w:ascii="宋体" w:hAnsi="宋体" w:eastAsia="宋体" w:cs="宋体"/>
                <w:szCs w:val="21"/>
              </w:rPr>
            </w:pPr>
          </w:p>
        </w:tc>
        <w:tc>
          <w:tcPr>
            <w:tcW w:w="720" w:type="dxa"/>
            <w:tcBorders>
              <w:top w:val="single" w:color="000000" w:sz="6" w:space="0"/>
              <w:left w:val="single" w:color="000000" w:sz="6" w:space="0"/>
              <w:bottom w:val="single" w:color="000000" w:sz="6" w:space="0"/>
              <w:right w:val="single" w:color="000000" w:sz="6" w:space="0"/>
            </w:tcBorders>
            <w:vAlign w:val="center"/>
          </w:tcPr>
          <w:p>
            <w:pPr>
              <w:autoSpaceDE w:val="0"/>
              <w:autoSpaceDN w:val="0"/>
              <w:spacing w:line="360" w:lineRule="auto"/>
              <w:jc w:val="center"/>
              <w:rPr>
                <w:rFonts w:ascii="宋体" w:hAnsi="宋体" w:eastAsia="宋体" w:cs="宋体"/>
                <w:szCs w:val="21"/>
              </w:rPr>
            </w:pPr>
          </w:p>
        </w:tc>
        <w:tc>
          <w:tcPr>
            <w:tcW w:w="741" w:type="dxa"/>
            <w:tcBorders>
              <w:top w:val="single" w:color="000000" w:sz="6" w:space="0"/>
              <w:left w:val="single" w:color="auto" w:sz="4" w:space="0"/>
              <w:bottom w:val="single" w:color="000000" w:sz="6" w:space="0"/>
              <w:right w:val="single" w:color="auto" w:sz="4" w:space="0"/>
            </w:tcBorders>
            <w:vAlign w:val="center"/>
          </w:tcPr>
          <w:p>
            <w:pPr>
              <w:autoSpaceDE w:val="0"/>
              <w:autoSpaceDN w:val="0"/>
              <w:spacing w:line="360" w:lineRule="auto"/>
              <w:jc w:val="center"/>
              <w:rPr>
                <w:rFonts w:ascii="宋体" w:hAnsi="宋体" w:eastAsia="宋体" w:cs="宋体"/>
                <w:szCs w:val="21"/>
              </w:rPr>
            </w:pPr>
          </w:p>
        </w:tc>
        <w:tc>
          <w:tcPr>
            <w:tcW w:w="1058" w:type="dxa"/>
            <w:tcBorders>
              <w:top w:val="single" w:color="000000" w:sz="6" w:space="0"/>
              <w:left w:val="single" w:color="auto" w:sz="4" w:space="0"/>
              <w:bottom w:val="single" w:color="000000" w:sz="6" w:space="0"/>
              <w:right w:val="single" w:color="000000" w:sz="6" w:space="0"/>
            </w:tcBorders>
            <w:vAlign w:val="center"/>
          </w:tcPr>
          <w:p>
            <w:pPr>
              <w:autoSpaceDE w:val="0"/>
              <w:autoSpaceDN w:val="0"/>
              <w:spacing w:line="360" w:lineRule="auto"/>
              <w:jc w:val="center"/>
              <w:rPr>
                <w:rFonts w:ascii="宋体" w:hAnsi="宋体" w:eastAsia="宋体" w:cs="宋体"/>
                <w:szCs w:val="21"/>
              </w:rPr>
            </w:pPr>
          </w:p>
        </w:tc>
        <w:tc>
          <w:tcPr>
            <w:tcW w:w="1137" w:type="dxa"/>
            <w:tcBorders>
              <w:top w:val="single" w:color="000000" w:sz="6" w:space="0"/>
              <w:left w:val="single" w:color="auto" w:sz="4" w:space="0"/>
              <w:bottom w:val="single" w:color="000000" w:sz="6" w:space="0"/>
              <w:right w:val="single" w:color="000000" w:sz="6" w:space="0"/>
            </w:tcBorders>
            <w:vAlign w:val="center"/>
          </w:tcPr>
          <w:p>
            <w:pPr>
              <w:autoSpaceDE w:val="0"/>
              <w:autoSpaceDN w:val="0"/>
              <w:spacing w:line="360" w:lineRule="auto"/>
              <w:jc w:val="center"/>
              <w:rPr>
                <w:rFonts w:ascii="宋体" w:hAnsi="宋体" w:eastAsia="宋体" w:cs="宋体"/>
                <w:szCs w:val="21"/>
              </w:rPr>
            </w:pPr>
          </w:p>
        </w:tc>
      </w:tr>
      <w:tr>
        <w:trPr>
          <w:cantSplit/>
          <w:trHeight w:val="474" w:hRule="atLeast"/>
          <w:jc w:val="center"/>
        </w:trPr>
        <w:tc>
          <w:tcPr>
            <w:tcW w:w="570" w:type="dxa"/>
            <w:tcBorders>
              <w:top w:val="single" w:color="auto" w:sz="4" w:space="0"/>
              <w:left w:val="single" w:color="000000" w:sz="6" w:space="0"/>
              <w:bottom w:val="single" w:color="auto" w:sz="4" w:space="0"/>
              <w:right w:val="single" w:color="auto" w:sz="4" w:space="0"/>
            </w:tcBorders>
            <w:vAlign w:val="center"/>
          </w:tcPr>
          <w:p>
            <w:pPr>
              <w:autoSpaceDE w:val="0"/>
              <w:autoSpaceDN w:val="0"/>
              <w:spacing w:line="360" w:lineRule="auto"/>
              <w:jc w:val="center"/>
              <w:rPr>
                <w:rFonts w:ascii="宋体" w:hAnsi="宋体" w:eastAsia="宋体" w:cs="宋体"/>
                <w:bCs/>
                <w:szCs w:val="21"/>
              </w:rPr>
            </w:pPr>
            <w:r>
              <w:rPr>
                <w:rFonts w:hint="eastAsia" w:ascii="宋体" w:hAnsi="宋体" w:eastAsia="宋体" w:cs="宋体"/>
                <w:bCs/>
                <w:szCs w:val="21"/>
              </w:rPr>
              <w:t>2</w:t>
            </w:r>
          </w:p>
        </w:tc>
        <w:tc>
          <w:tcPr>
            <w:tcW w:w="1899" w:type="dxa"/>
            <w:tcBorders>
              <w:top w:val="single" w:color="auto" w:sz="4" w:space="0"/>
              <w:left w:val="single" w:color="auto" w:sz="4" w:space="0"/>
              <w:bottom w:val="single" w:color="auto" w:sz="4" w:space="0"/>
              <w:right w:val="single" w:color="000000" w:sz="6" w:space="0"/>
            </w:tcBorders>
            <w:vAlign w:val="center"/>
          </w:tcPr>
          <w:p>
            <w:pPr>
              <w:autoSpaceDE w:val="0"/>
              <w:autoSpaceDN w:val="0"/>
              <w:spacing w:line="360" w:lineRule="auto"/>
              <w:jc w:val="center"/>
              <w:rPr>
                <w:rFonts w:ascii="宋体" w:hAnsi="宋体" w:eastAsia="宋体" w:cs="宋体"/>
                <w:b/>
                <w:bCs/>
                <w:szCs w:val="21"/>
              </w:rPr>
            </w:pPr>
          </w:p>
        </w:tc>
        <w:tc>
          <w:tcPr>
            <w:tcW w:w="224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宋体" w:hAnsi="宋体" w:eastAsia="宋体" w:cs="宋体"/>
                <w:szCs w:val="21"/>
              </w:rPr>
            </w:pPr>
          </w:p>
        </w:tc>
        <w:tc>
          <w:tcPr>
            <w:tcW w:w="72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宋体" w:hAnsi="宋体" w:eastAsia="宋体" w:cs="宋体"/>
                <w:szCs w:val="21"/>
              </w:rPr>
            </w:pPr>
          </w:p>
        </w:tc>
        <w:tc>
          <w:tcPr>
            <w:tcW w:w="74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宋体" w:hAnsi="宋体" w:eastAsia="宋体" w:cs="宋体"/>
                <w:szCs w:val="21"/>
              </w:rPr>
            </w:pPr>
          </w:p>
        </w:tc>
        <w:tc>
          <w:tcPr>
            <w:tcW w:w="1058" w:type="dxa"/>
            <w:tcBorders>
              <w:top w:val="single" w:color="auto" w:sz="4" w:space="0"/>
              <w:left w:val="single" w:color="auto" w:sz="4" w:space="0"/>
              <w:bottom w:val="single" w:color="auto" w:sz="4" w:space="0"/>
              <w:right w:val="single" w:color="000000" w:sz="6" w:space="0"/>
            </w:tcBorders>
            <w:vAlign w:val="center"/>
          </w:tcPr>
          <w:p>
            <w:pPr>
              <w:autoSpaceDE w:val="0"/>
              <w:autoSpaceDN w:val="0"/>
              <w:spacing w:line="360" w:lineRule="auto"/>
              <w:jc w:val="center"/>
              <w:rPr>
                <w:rFonts w:ascii="宋体" w:hAnsi="宋体" w:eastAsia="宋体" w:cs="宋体"/>
                <w:szCs w:val="21"/>
              </w:rPr>
            </w:pPr>
          </w:p>
        </w:tc>
        <w:tc>
          <w:tcPr>
            <w:tcW w:w="1137" w:type="dxa"/>
            <w:tcBorders>
              <w:top w:val="single" w:color="auto" w:sz="4" w:space="0"/>
              <w:left w:val="single" w:color="auto" w:sz="4" w:space="0"/>
              <w:bottom w:val="single" w:color="auto" w:sz="4" w:space="0"/>
              <w:right w:val="single" w:color="000000" w:sz="6" w:space="0"/>
            </w:tcBorders>
            <w:vAlign w:val="center"/>
          </w:tcPr>
          <w:p>
            <w:pPr>
              <w:autoSpaceDE w:val="0"/>
              <w:autoSpaceDN w:val="0"/>
              <w:spacing w:line="360" w:lineRule="auto"/>
              <w:jc w:val="center"/>
              <w:rPr>
                <w:rFonts w:ascii="宋体" w:hAnsi="宋体" w:eastAsia="宋体" w:cs="宋体"/>
                <w:szCs w:val="21"/>
              </w:rPr>
            </w:pPr>
          </w:p>
        </w:tc>
      </w:tr>
      <w:tr>
        <w:trPr>
          <w:cantSplit/>
          <w:trHeight w:val="474" w:hRule="atLeast"/>
          <w:jc w:val="center"/>
        </w:trPr>
        <w:tc>
          <w:tcPr>
            <w:tcW w:w="570" w:type="dxa"/>
            <w:tcBorders>
              <w:top w:val="single" w:color="auto" w:sz="4" w:space="0"/>
              <w:left w:val="single" w:color="000000" w:sz="6" w:space="0"/>
              <w:bottom w:val="single" w:color="auto" w:sz="4" w:space="0"/>
              <w:right w:val="single" w:color="auto" w:sz="4" w:space="0"/>
            </w:tcBorders>
            <w:vAlign w:val="center"/>
          </w:tcPr>
          <w:p>
            <w:pPr>
              <w:autoSpaceDE w:val="0"/>
              <w:autoSpaceDN w:val="0"/>
              <w:spacing w:line="360" w:lineRule="auto"/>
              <w:jc w:val="center"/>
              <w:rPr>
                <w:rFonts w:ascii="宋体" w:hAnsi="宋体" w:eastAsia="宋体" w:cs="宋体"/>
                <w:bCs/>
                <w:szCs w:val="21"/>
              </w:rPr>
            </w:pPr>
            <w:r>
              <w:rPr>
                <w:rFonts w:hint="eastAsia" w:ascii="宋体" w:hAnsi="宋体" w:eastAsia="宋体" w:cs="宋体"/>
                <w:bCs/>
                <w:szCs w:val="21"/>
              </w:rPr>
              <w:t>3</w:t>
            </w:r>
          </w:p>
        </w:tc>
        <w:tc>
          <w:tcPr>
            <w:tcW w:w="1899" w:type="dxa"/>
            <w:tcBorders>
              <w:top w:val="single" w:color="auto" w:sz="4" w:space="0"/>
              <w:left w:val="single" w:color="auto" w:sz="4" w:space="0"/>
              <w:bottom w:val="single" w:color="auto" w:sz="4" w:space="0"/>
              <w:right w:val="single" w:color="000000" w:sz="6" w:space="0"/>
            </w:tcBorders>
            <w:vAlign w:val="center"/>
          </w:tcPr>
          <w:p>
            <w:pPr>
              <w:autoSpaceDE w:val="0"/>
              <w:autoSpaceDN w:val="0"/>
              <w:spacing w:line="360" w:lineRule="auto"/>
              <w:jc w:val="center"/>
              <w:rPr>
                <w:rFonts w:ascii="宋体" w:hAnsi="宋体" w:eastAsia="宋体" w:cs="宋体"/>
                <w:b/>
                <w:bCs/>
                <w:szCs w:val="21"/>
              </w:rPr>
            </w:pPr>
          </w:p>
        </w:tc>
        <w:tc>
          <w:tcPr>
            <w:tcW w:w="224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宋体" w:hAnsi="宋体" w:eastAsia="宋体" w:cs="宋体"/>
                <w:szCs w:val="21"/>
              </w:rPr>
            </w:pPr>
          </w:p>
        </w:tc>
        <w:tc>
          <w:tcPr>
            <w:tcW w:w="72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宋体" w:hAnsi="宋体" w:eastAsia="宋体" w:cs="宋体"/>
                <w:szCs w:val="21"/>
              </w:rPr>
            </w:pPr>
          </w:p>
        </w:tc>
        <w:tc>
          <w:tcPr>
            <w:tcW w:w="74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宋体" w:hAnsi="宋体" w:eastAsia="宋体" w:cs="宋体"/>
                <w:szCs w:val="21"/>
              </w:rPr>
            </w:pPr>
          </w:p>
        </w:tc>
        <w:tc>
          <w:tcPr>
            <w:tcW w:w="1058" w:type="dxa"/>
            <w:tcBorders>
              <w:top w:val="single" w:color="auto" w:sz="4" w:space="0"/>
              <w:left w:val="single" w:color="auto" w:sz="4" w:space="0"/>
              <w:bottom w:val="single" w:color="auto" w:sz="4" w:space="0"/>
              <w:right w:val="single" w:color="000000" w:sz="6" w:space="0"/>
            </w:tcBorders>
            <w:vAlign w:val="center"/>
          </w:tcPr>
          <w:p>
            <w:pPr>
              <w:autoSpaceDE w:val="0"/>
              <w:autoSpaceDN w:val="0"/>
              <w:spacing w:line="360" w:lineRule="auto"/>
              <w:jc w:val="center"/>
              <w:rPr>
                <w:rFonts w:ascii="宋体" w:hAnsi="宋体" w:eastAsia="宋体" w:cs="宋体"/>
                <w:szCs w:val="21"/>
              </w:rPr>
            </w:pPr>
          </w:p>
        </w:tc>
        <w:tc>
          <w:tcPr>
            <w:tcW w:w="1137" w:type="dxa"/>
            <w:tcBorders>
              <w:top w:val="single" w:color="auto" w:sz="4" w:space="0"/>
              <w:left w:val="single" w:color="auto" w:sz="4" w:space="0"/>
              <w:bottom w:val="single" w:color="auto" w:sz="4" w:space="0"/>
              <w:right w:val="single" w:color="000000" w:sz="6" w:space="0"/>
            </w:tcBorders>
            <w:vAlign w:val="center"/>
          </w:tcPr>
          <w:p>
            <w:pPr>
              <w:autoSpaceDE w:val="0"/>
              <w:autoSpaceDN w:val="0"/>
              <w:spacing w:line="360" w:lineRule="auto"/>
              <w:jc w:val="center"/>
              <w:rPr>
                <w:rFonts w:ascii="宋体" w:hAnsi="宋体" w:eastAsia="宋体" w:cs="宋体"/>
                <w:szCs w:val="21"/>
              </w:rPr>
            </w:pPr>
          </w:p>
        </w:tc>
      </w:tr>
      <w:tr>
        <w:trPr>
          <w:cantSplit/>
          <w:trHeight w:val="474" w:hRule="atLeast"/>
          <w:jc w:val="center"/>
        </w:trPr>
        <w:tc>
          <w:tcPr>
            <w:tcW w:w="570" w:type="dxa"/>
            <w:tcBorders>
              <w:top w:val="single" w:color="auto" w:sz="4" w:space="0"/>
              <w:left w:val="single" w:color="000000" w:sz="6" w:space="0"/>
              <w:bottom w:val="single" w:color="auto" w:sz="4" w:space="0"/>
              <w:right w:val="single" w:color="auto" w:sz="4" w:space="0"/>
            </w:tcBorders>
            <w:vAlign w:val="center"/>
          </w:tcPr>
          <w:p>
            <w:pPr>
              <w:autoSpaceDE w:val="0"/>
              <w:autoSpaceDN w:val="0"/>
              <w:spacing w:line="360" w:lineRule="auto"/>
              <w:jc w:val="center"/>
              <w:rPr>
                <w:rFonts w:ascii="宋体" w:hAnsi="宋体" w:eastAsia="宋体" w:cs="宋体"/>
                <w:bCs/>
                <w:szCs w:val="21"/>
              </w:rPr>
            </w:pPr>
            <w:r>
              <w:rPr>
                <w:rFonts w:hint="eastAsia" w:ascii="宋体" w:hAnsi="宋体" w:eastAsia="宋体" w:cs="宋体"/>
                <w:bCs/>
                <w:szCs w:val="21"/>
              </w:rPr>
              <w:t>4</w:t>
            </w:r>
          </w:p>
        </w:tc>
        <w:tc>
          <w:tcPr>
            <w:tcW w:w="1899" w:type="dxa"/>
            <w:tcBorders>
              <w:top w:val="single" w:color="auto" w:sz="4" w:space="0"/>
              <w:left w:val="single" w:color="auto" w:sz="4" w:space="0"/>
              <w:bottom w:val="single" w:color="auto" w:sz="4" w:space="0"/>
              <w:right w:val="single" w:color="000000" w:sz="6" w:space="0"/>
            </w:tcBorders>
            <w:vAlign w:val="center"/>
          </w:tcPr>
          <w:p>
            <w:pPr>
              <w:autoSpaceDE w:val="0"/>
              <w:autoSpaceDN w:val="0"/>
              <w:spacing w:line="360" w:lineRule="auto"/>
              <w:jc w:val="center"/>
              <w:rPr>
                <w:rFonts w:ascii="宋体" w:hAnsi="宋体" w:eastAsia="宋体" w:cs="宋体"/>
                <w:b/>
                <w:bCs/>
                <w:szCs w:val="21"/>
              </w:rPr>
            </w:pPr>
          </w:p>
        </w:tc>
        <w:tc>
          <w:tcPr>
            <w:tcW w:w="224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宋体" w:hAnsi="宋体" w:eastAsia="宋体" w:cs="宋体"/>
                <w:szCs w:val="21"/>
              </w:rPr>
            </w:pPr>
          </w:p>
        </w:tc>
        <w:tc>
          <w:tcPr>
            <w:tcW w:w="72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宋体" w:hAnsi="宋体" w:eastAsia="宋体" w:cs="宋体"/>
                <w:szCs w:val="21"/>
              </w:rPr>
            </w:pPr>
          </w:p>
        </w:tc>
        <w:tc>
          <w:tcPr>
            <w:tcW w:w="74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宋体" w:hAnsi="宋体" w:eastAsia="宋体" w:cs="宋体"/>
                <w:szCs w:val="21"/>
              </w:rPr>
            </w:pPr>
          </w:p>
        </w:tc>
        <w:tc>
          <w:tcPr>
            <w:tcW w:w="1058" w:type="dxa"/>
            <w:tcBorders>
              <w:top w:val="single" w:color="auto" w:sz="4" w:space="0"/>
              <w:left w:val="single" w:color="auto" w:sz="4" w:space="0"/>
              <w:bottom w:val="single" w:color="auto" w:sz="4" w:space="0"/>
              <w:right w:val="single" w:color="000000" w:sz="6" w:space="0"/>
            </w:tcBorders>
            <w:vAlign w:val="center"/>
          </w:tcPr>
          <w:p>
            <w:pPr>
              <w:autoSpaceDE w:val="0"/>
              <w:autoSpaceDN w:val="0"/>
              <w:spacing w:line="360" w:lineRule="auto"/>
              <w:jc w:val="center"/>
              <w:rPr>
                <w:rFonts w:ascii="宋体" w:hAnsi="宋体" w:eastAsia="宋体" w:cs="宋体"/>
                <w:szCs w:val="21"/>
              </w:rPr>
            </w:pPr>
          </w:p>
        </w:tc>
        <w:tc>
          <w:tcPr>
            <w:tcW w:w="1137" w:type="dxa"/>
            <w:tcBorders>
              <w:top w:val="single" w:color="auto" w:sz="4" w:space="0"/>
              <w:left w:val="single" w:color="auto" w:sz="4" w:space="0"/>
              <w:bottom w:val="single" w:color="auto" w:sz="4" w:space="0"/>
              <w:right w:val="single" w:color="000000" w:sz="6" w:space="0"/>
            </w:tcBorders>
            <w:vAlign w:val="center"/>
          </w:tcPr>
          <w:p>
            <w:pPr>
              <w:autoSpaceDE w:val="0"/>
              <w:autoSpaceDN w:val="0"/>
              <w:spacing w:line="360" w:lineRule="auto"/>
              <w:jc w:val="center"/>
              <w:rPr>
                <w:rFonts w:ascii="宋体" w:hAnsi="宋体" w:eastAsia="宋体" w:cs="宋体"/>
                <w:szCs w:val="21"/>
              </w:rPr>
            </w:pPr>
          </w:p>
        </w:tc>
      </w:tr>
      <w:tr>
        <w:trPr>
          <w:cantSplit/>
          <w:trHeight w:val="474" w:hRule="atLeast"/>
          <w:jc w:val="center"/>
        </w:trPr>
        <w:tc>
          <w:tcPr>
            <w:tcW w:w="570" w:type="dxa"/>
            <w:tcBorders>
              <w:top w:val="single" w:color="auto" w:sz="4" w:space="0"/>
              <w:left w:val="single" w:color="000000" w:sz="6" w:space="0"/>
              <w:bottom w:val="single" w:color="auto" w:sz="4" w:space="0"/>
              <w:right w:val="single" w:color="auto" w:sz="4" w:space="0"/>
            </w:tcBorders>
            <w:vAlign w:val="center"/>
          </w:tcPr>
          <w:p>
            <w:pPr>
              <w:autoSpaceDE w:val="0"/>
              <w:autoSpaceDN w:val="0"/>
              <w:spacing w:line="360" w:lineRule="auto"/>
              <w:jc w:val="center"/>
              <w:rPr>
                <w:rFonts w:ascii="宋体" w:hAnsi="宋体" w:eastAsia="宋体" w:cs="宋体"/>
                <w:b/>
                <w:bCs/>
                <w:szCs w:val="21"/>
              </w:rPr>
            </w:pPr>
            <w:r>
              <w:rPr>
                <w:rFonts w:hint="eastAsia" w:ascii="宋体" w:hAnsi="宋体" w:eastAsia="宋体" w:cs="宋体"/>
                <w:b/>
                <w:bCs/>
                <w:szCs w:val="21"/>
              </w:rPr>
              <w:t>....</w:t>
            </w:r>
          </w:p>
        </w:tc>
        <w:tc>
          <w:tcPr>
            <w:tcW w:w="1899" w:type="dxa"/>
            <w:tcBorders>
              <w:top w:val="single" w:color="auto" w:sz="4" w:space="0"/>
              <w:left w:val="single" w:color="auto" w:sz="4" w:space="0"/>
              <w:bottom w:val="single" w:color="auto" w:sz="4" w:space="0"/>
              <w:right w:val="single" w:color="000000" w:sz="6" w:space="0"/>
            </w:tcBorders>
            <w:vAlign w:val="center"/>
          </w:tcPr>
          <w:p>
            <w:pPr>
              <w:autoSpaceDE w:val="0"/>
              <w:autoSpaceDN w:val="0"/>
              <w:spacing w:line="360" w:lineRule="auto"/>
              <w:jc w:val="center"/>
              <w:rPr>
                <w:rFonts w:ascii="宋体" w:hAnsi="宋体" w:eastAsia="宋体" w:cs="宋体"/>
                <w:b/>
                <w:bCs/>
                <w:szCs w:val="21"/>
              </w:rPr>
            </w:pPr>
          </w:p>
        </w:tc>
        <w:tc>
          <w:tcPr>
            <w:tcW w:w="224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宋体" w:hAnsi="宋体" w:eastAsia="宋体" w:cs="宋体"/>
                <w:szCs w:val="21"/>
              </w:rPr>
            </w:pPr>
          </w:p>
        </w:tc>
        <w:tc>
          <w:tcPr>
            <w:tcW w:w="720"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宋体" w:hAnsi="宋体" w:eastAsia="宋体" w:cs="宋体"/>
                <w:szCs w:val="21"/>
              </w:rPr>
            </w:pPr>
          </w:p>
        </w:tc>
        <w:tc>
          <w:tcPr>
            <w:tcW w:w="741" w:type="dxa"/>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宋体" w:hAnsi="宋体" w:eastAsia="宋体" w:cs="宋体"/>
                <w:szCs w:val="21"/>
              </w:rPr>
            </w:pPr>
          </w:p>
        </w:tc>
        <w:tc>
          <w:tcPr>
            <w:tcW w:w="1058" w:type="dxa"/>
            <w:tcBorders>
              <w:top w:val="single" w:color="auto" w:sz="4" w:space="0"/>
              <w:left w:val="single" w:color="auto" w:sz="4" w:space="0"/>
              <w:bottom w:val="single" w:color="auto" w:sz="4" w:space="0"/>
              <w:right w:val="single" w:color="000000" w:sz="6" w:space="0"/>
            </w:tcBorders>
            <w:vAlign w:val="center"/>
          </w:tcPr>
          <w:p>
            <w:pPr>
              <w:autoSpaceDE w:val="0"/>
              <w:autoSpaceDN w:val="0"/>
              <w:spacing w:line="360" w:lineRule="auto"/>
              <w:jc w:val="center"/>
              <w:rPr>
                <w:rFonts w:ascii="宋体" w:hAnsi="宋体" w:eastAsia="宋体" w:cs="宋体"/>
                <w:szCs w:val="21"/>
              </w:rPr>
            </w:pPr>
          </w:p>
        </w:tc>
        <w:tc>
          <w:tcPr>
            <w:tcW w:w="1137" w:type="dxa"/>
            <w:tcBorders>
              <w:top w:val="single" w:color="auto" w:sz="4" w:space="0"/>
              <w:left w:val="single" w:color="auto" w:sz="4" w:space="0"/>
              <w:bottom w:val="single" w:color="auto" w:sz="4" w:space="0"/>
              <w:right w:val="single" w:color="000000" w:sz="6" w:space="0"/>
            </w:tcBorders>
            <w:vAlign w:val="center"/>
          </w:tcPr>
          <w:p>
            <w:pPr>
              <w:autoSpaceDE w:val="0"/>
              <w:autoSpaceDN w:val="0"/>
              <w:spacing w:line="360" w:lineRule="auto"/>
              <w:jc w:val="center"/>
              <w:rPr>
                <w:rFonts w:ascii="宋体" w:hAnsi="宋体" w:eastAsia="宋体" w:cs="宋体"/>
                <w:szCs w:val="21"/>
              </w:rPr>
            </w:pPr>
          </w:p>
        </w:tc>
      </w:tr>
      <w:tr>
        <w:trPr>
          <w:cantSplit/>
          <w:trHeight w:val="474" w:hRule="atLeast"/>
          <w:jc w:val="center"/>
        </w:trPr>
        <w:tc>
          <w:tcPr>
            <w:tcW w:w="2469" w:type="dxa"/>
            <w:gridSpan w:val="2"/>
            <w:tcBorders>
              <w:top w:val="single" w:color="auto" w:sz="4" w:space="0"/>
              <w:left w:val="single" w:color="000000" w:sz="6" w:space="0"/>
              <w:bottom w:val="single" w:color="auto" w:sz="4" w:space="0"/>
              <w:right w:val="single" w:color="auto" w:sz="4" w:space="0"/>
            </w:tcBorders>
            <w:vAlign w:val="center"/>
          </w:tcPr>
          <w:p>
            <w:pPr>
              <w:autoSpaceDE w:val="0"/>
              <w:autoSpaceDN w:val="0"/>
              <w:spacing w:line="360" w:lineRule="auto"/>
              <w:jc w:val="center"/>
              <w:rPr>
                <w:rFonts w:ascii="宋体" w:hAnsi="宋体" w:eastAsia="宋体" w:cs="宋体"/>
                <w:b/>
                <w:bCs/>
                <w:szCs w:val="21"/>
              </w:rPr>
            </w:pPr>
            <w:r>
              <w:rPr>
                <w:rFonts w:hint="eastAsia" w:ascii="宋体" w:hAnsi="宋体" w:eastAsia="宋体" w:cs="宋体"/>
                <w:bCs/>
                <w:szCs w:val="21"/>
              </w:rPr>
              <w:t>总报价</w:t>
            </w:r>
          </w:p>
        </w:tc>
        <w:tc>
          <w:tcPr>
            <w:tcW w:w="5897" w:type="dxa"/>
            <w:gridSpan w:val="5"/>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rPr>
                <w:rFonts w:ascii="宋体" w:hAnsi="宋体" w:eastAsia="宋体" w:cs="宋体"/>
                <w:szCs w:val="21"/>
              </w:rPr>
            </w:pPr>
            <w:r>
              <w:rPr>
                <w:rFonts w:hint="eastAsia" w:ascii="宋体" w:hAnsi="宋体" w:eastAsia="宋体" w:cs="宋体"/>
                <w:szCs w:val="21"/>
              </w:rPr>
              <w:t>大写：                    小写：</w:t>
            </w:r>
          </w:p>
        </w:tc>
      </w:tr>
      <w:tr>
        <w:trPr>
          <w:cantSplit/>
          <w:trHeight w:val="474" w:hRule="atLeast"/>
          <w:jc w:val="center"/>
        </w:trPr>
        <w:tc>
          <w:tcPr>
            <w:tcW w:w="2469" w:type="dxa"/>
            <w:gridSpan w:val="2"/>
            <w:tcBorders>
              <w:top w:val="single" w:color="auto" w:sz="4" w:space="0"/>
              <w:left w:val="single" w:color="000000" w:sz="6" w:space="0"/>
              <w:bottom w:val="single" w:color="auto" w:sz="4" w:space="0"/>
              <w:right w:val="single" w:color="auto" w:sz="4" w:space="0"/>
            </w:tcBorders>
            <w:vAlign w:val="center"/>
          </w:tcPr>
          <w:p>
            <w:pPr>
              <w:autoSpaceDE w:val="0"/>
              <w:autoSpaceDN w:val="0"/>
              <w:spacing w:line="360" w:lineRule="auto"/>
              <w:jc w:val="center"/>
              <w:rPr>
                <w:rFonts w:ascii="宋体" w:hAnsi="宋体" w:eastAsia="宋体" w:cs="宋体"/>
                <w:b/>
                <w:bCs/>
                <w:szCs w:val="21"/>
              </w:rPr>
            </w:pPr>
            <w:r>
              <w:rPr>
                <w:rFonts w:hint="eastAsia" w:ascii="宋体" w:hAnsi="宋体" w:eastAsia="宋体" w:cs="宋体"/>
                <w:bCs/>
                <w:szCs w:val="21"/>
              </w:rPr>
              <w:t>质量</w:t>
            </w:r>
          </w:p>
        </w:tc>
        <w:tc>
          <w:tcPr>
            <w:tcW w:w="5897" w:type="dxa"/>
            <w:gridSpan w:val="5"/>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宋体" w:hAnsi="宋体" w:eastAsia="宋体" w:cs="宋体"/>
                <w:szCs w:val="21"/>
              </w:rPr>
            </w:pPr>
            <w:r>
              <w:rPr>
                <w:rFonts w:hint="eastAsia" w:ascii="宋体" w:hAnsi="宋体" w:eastAsia="宋体" w:cs="宋体"/>
                <w:szCs w:val="21"/>
              </w:rPr>
              <w:t>合格</w:t>
            </w:r>
          </w:p>
        </w:tc>
      </w:tr>
      <w:tr>
        <w:trPr>
          <w:cantSplit/>
          <w:trHeight w:val="518" w:hRule="atLeast"/>
          <w:jc w:val="center"/>
        </w:trPr>
        <w:tc>
          <w:tcPr>
            <w:tcW w:w="2469" w:type="dxa"/>
            <w:gridSpan w:val="2"/>
            <w:tcBorders>
              <w:top w:val="single" w:color="auto" w:sz="4" w:space="0"/>
              <w:left w:val="single" w:color="000000" w:sz="6" w:space="0"/>
              <w:bottom w:val="single" w:color="auto" w:sz="4" w:space="0"/>
              <w:right w:val="single" w:color="auto" w:sz="4" w:space="0"/>
            </w:tcBorders>
            <w:vAlign w:val="center"/>
          </w:tcPr>
          <w:p>
            <w:pPr>
              <w:autoSpaceDE w:val="0"/>
              <w:autoSpaceDN w:val="0"/>
              <w:spacing w:line="360" w:lineRule="auto"/>
              <w:jc w:val="center"/>
              <w:rPr>
                <w:rFonts w:ascii="宋体" w:hAnsi="宋体" w:eastAsia="宋体" w:cs="宋体"/>
                <w:b/>
                <w:bCs/>
                <w:szCs w:val="21"/>
              </w:rPr>
            </w:pPr>
            <w:r>
              <w:rPr>
                <w:rFonts w:hint="eastAsia" w:ascii="宋体" w:hAnsi="宋体" w:eastAsia="宋体" w:cs="宋体"/>
                <w:bCs/>
                <w:szCs w:val="21"/>
              </w:rPr>
              <w:t>供货期</w:t>
            </w:r>
          </w:p>
        </w:tc>
        <w:tc>
          <w:tcPr>
            <w:tcW w:w="5897" w:type="dxa"/>
            <w:gridSpan w:val="5"/>
            <w:tcBorders>
              <w:top w:val="single" w:color="auto" w:sz="4" w:space="0"/>
              <w:left w:val="single" w:color="auto" w:sz="4" w:space="0"/>
              <w:bottom w:val="single" w:color="auto" w:sz="4" w:space="0"/>
              <w:right w:val="single" w:color="auto" w:sz="4" w:space="0"/>
            </w:tcBorders>
            <w:vAlign w:val="center"/>
          </w:tcPr>
          <w:p>
            <w:pPr>
              <w:autoSpaceDE w:val="0"/>
              <w:autoSpaceDN w:val="0"/>
              <w:spacing w:line="360" w:lineRule="auto"/>
              <w:jc w:val="center"/>
              <w:rPr>
                <w:rFonts w:ascii="宋体" w:hAnsi="宋体" w:eastAsia="宋体" w:cs="宋体"/>
                <w:szCs w:val="21"/>
                <w:u w:val="single"/>
              </w:rPr>
            </w:pPr>
            <w:r>
              <w:rPr>
                <w:rFonts w:hint="eastAsia" w:ascii="宋体" w:hAnsi="宋体" w:cs="宋体"/>
                <w:szCs w:val="21"/>
              </w:rPr>
              <w:t>签订合同后</w:t>
            </w:r>
            <w:r>
              <w:rPr>
                <w:rFonts w:hint="eastAsia" w:ascii="宋体" w:hAnsi="宋体" w:eastAsia="宋体" w:cs="宋体"/>
                <w:szCs w:val="21"/>
                <w:u w:val="single"/>
              </w:rPr>
              <w:t xml:space="preserve"> 30 </w:t>
            </w:r>
            <w:r>
              <w:rPr>
                <w:rFonts w:hint="eastAsia" w:ascii="宋体" w:hAnsi="宋体" w:eastAsia="宋体" w:cs="宋体"/>
                <w:szCs w:val="21"/>
              </w:rPr>
              <w:t>天</w:t>
            </w:r>
          </w:p>
        </w:tc>
      </w:tr>
    </w:tbl>
    <w:p>
      <w:pPr>
        <w:pStyle w:val="6"/>
        <w:widowControl/>
        <w:shd w:val="clear" w:color="auto" w:fill="FFFFFF"/>
        <w:spacing w:before="0" w:beforeAutospacing="0" w:after="0" w:afterAutospacing="0" w:line="480" w:lineRule="exact"/>
        <w:ind w:firstLine="420" w:firstLineChars="200"/>
        <w:jc w:val="both"/>
        <w:rPr>
          <w:rFonts w:ascii="宋体" w:hAnsi="宋体" w:eastAsia="宋体" w:cs="宋体"/>
          <w:sz w:val="21"/>
          <w:szCs w:val="21"/>
        </w:rPr>
      </w:pPr>
      <w:r>
        <w:rPr>
          <w:rFonts w:hint="eastAsia" w:ascii="宋体" w:hAnsi="宋体" w:eastAsia="宋体" w:cs="宋体"/>
          <w:sz w:val="21"/>
          <w:szCs w:val="21"/>
          <w:shd w:val="clear" w:color="auto" w:fill="FFFFFF"/>
        </w:rPr>
        <w:t>报价单位（盖章）：</w:t>
      </w:r>
      <w:r>
        <w:rPr>
          <w:rFonts w:hint="eastAsia" w:ascii="宋体" w:hAnsi="宋体" w:eastAsia="宋体" w:cs="宋体"/>
          <w:sz w:val="21"/>
          <w:szCs w:val="21"/>
          <w:u w:val="single"/>
          <w:shd w:val="clear" w:color="auto" w:fill="FFFFFF"/>
        </w:rPr>
        <w:t xml:space="preserve">              </w:t>
      </w:r>
    </w:p>
    <w:p>
      <w:pPr>
        <w:pStyle w:val="6"/>
        <w:widowControl/>
        <w:shd w:val="clear" w:color="auto" w:fill="FFFFFF"/>
        <w:spacing w:before="0" w:beforeAutospacing="0" w:after="0" w:afterAutospacing="0" w:line="480" w:lineRule="exact"/>
        <w:ind w:firstLine="420" w:firstLineChars="200"/>
        <w:jc w:val="both"/>
        <w:rPr>
          <w:rFonts w:ascii="宋体" w:hAnsi="宋体" w:eastAsia="宋体" w:cs="宋体"/>
          <w:sz w:val="21"/>
          <w:szCs w:val="21"/>
        </w:rPr>
      </w:pPr>
      <w:r>
        <w:rPr>
          <w:rFonts w:hint="eastAsia" w:ascii="宋体" w:hAnsi="宋体" w:eastAsia="宋体" w:cs="宋体"/>
          <w:sz w:val="21"/>
          <w:szCs w:val="21"/>
          <w:shd w:val="clear" w:color="auto" w:fill="FFFFFF"/>
        </w:rPr>
        <w:t>法定代表人（负责人）签字：</w:t>
      </w:r>
      <w:r>
        <w:rPr>
          <w:rFonts w:hint="eastAsia" w:ascii="宋体" w:hAnsi="宋体" w:eastAsia="宋体" w:cs="宋体"/>
          <w:sz w:val="21"/>
          <w:szCs w:val="21"/>
          <w:u w:val="single"/>
          <w:shd w:val="clear" w:color="auto" w:fill="FFFFFF"/>
        </w:rPr>
        <w:t>         </w:t>
      </w:r>
    </w:p>
    <w:p>
      <w:pPr>
        <w:pStyle w:val="6"/>
        <w:widowControl/>
        <w:shd w:val="clear" w:color="auto" w:fill="FFFFFF"/>
        <w:spacing w:before="0" w:beforeAutospacing="0" w:after="0" w:afterAutospacing="0" w:line="480" w:lineRule="exact"/>
        <w:ind w:firstLine="420" w:firstLineChars="200"/>
        <w:jc w:val="both"/>
        <w:rPr>
          <w:rFonts w:ascii="宋体" w:hAnsi="宋体" w:eastAsia="宋体" w:cs="宋体"/>
          <w:sz w:val="21"/>
          <w:szCs w:val="21"/>
        </w:rPr>
      </w:pPr>
      <w:r>
        <w:rPr>
          <w:rFonts w:hint="eastAsia" w:ascii="宋体" w:hAnsi="宋体" w:eastAsia="宋体" w:cs="宋体"/>
          <w:sz w:val="21"/>
          <w:szCs w:val="21"/>
          <w:shd w:val="clear" w:color="auto" w:fill="FFFFFF"/>
        </w:rPr>
        <w:t>地    址： </w:t>
      </w:r>
      <w:r>
        <w:rPr>
          <w:rFonts w:hint="eastAsia" w:ascii="宋体" w:hAnsi="宋体" w:eastAsia="宋体" w:cs="宋体"/>
          <w:sz w:val="21"/>
          <w:szCs w:val="21"/>
          <w:u w:val="single"/>
          <w:shd w:val="clear" w:color="auto" w:fill="FFFFFF"/>
        </w:rPr>
        <w:t>              </w:t>
      </w:r>
    </w:p>
    <w:p>
      <w:pPr>
        <w:pStyle w:val="6"/>
        <w:widowControl/>
        <w:shd w:val="clear" w:color="auto" w:fill="FFFFFF"/>
        <w:spacing w:before="0" w:beforeAutospacing="0" w:after="0" w:afterAutospacing="0" w:line="480" w:lineRule="exact"/>
        <w:ind w:firstLine="420" w:firstLineChars="200"/>
        <w:jc w:val="both"/>
        <w:rPr>
          <w:rFonts w:ascii="宋体" w:hAnsi="宋体" w:eastAsia="宋体" w:cs="宋体"/>
          <w:sz w:val="21"/>
          <w:szCs w:val="21"/>
          <w:u w:val="single"/>
          <w:shd w:val="clear" w:color="auto" w:fill="FFFFFF"/>
        </w:rPr>
      </w:pPr>
      <w:r>
        <w:rPr>
          <w:rFonts w:hint="eastAsia" w:ascii="宋体" w:hAnsi="宋体" w:eastAsia="宋体" w:cs="宋体"/>
          <w:sz w:val="21"/>
          <w:szCs w:val="21"/>
          <w:shd w:val="clear" w:color="auto" w:fill="FFFFFF"/>
        </w:rPr>
        <w:t>联系电话：</w:t>
      </w:r>
      <w:r>
        <w:rPr>
          <w:rFonts w:hint="eastAsia" w:ascii="宋体" w:hAnsi="宋体" w:eastAsia="宋体" w:cs="宋体"/>
          <w:sz w:val="21"/>
          <w:szCs w:val="21"/>
          <w:u w:val="single"/>
          <w:shd w:val="clear" w:color="auto" w:fill="FFFFFF"/>
        </w:rPr>
        <w:t xml:space="preserve">                   </w:t>
      </w:r>
    </w:p>
    <w:p>
      <w:pPr>
        <w:pStyle w:val="6"/>
        <w:widowControl/>
        <w:shd w:val="clear" w:color="auto" w:fill="FFFFFF"/>
        <w:spacing w:before="0" w:beforeAutospacing="0" w:after="0" w:afterAutospacing="0" w:line="480" w:lineRule="exact"/>
        <w:ind w:firstLine="420" w:firstLineChars="200"/>
        <w:jc w:val="both"/>
        <w:rPr>
          <w:rFonts w:ascii="宋体" w:hAnsi="宋体" w:eastAsia="宋体" w:cs="宋体"/>
          <w:sz w:val="21"/>
          <w:szCs w:val="21"/>
          <w:shd w:val="clear" w:color="auto" w:fill="FFFFFF"/>
        </w:rPr>
      </w:pPr>
      <w:r>
        <w:rPr>
          <w:rFonts w:hint="eastAsia" w:ascii="宋体" w:hAnsi="宋体" w:eastAsia="宋体" w:cs="宋体"/>
          <w:sz w:val="21"/>
          <w:szCs w:val="21"/>
          <w:shd w:val="clear" w:color="auto" w:fill="FFFFFF"/>
        </w:rPr>
        <w:t>报价日期：</w:t>
      </w:r>
      <w:r>
        <w:rPr>
          <w:rFonts w:hint="eastAsia" w:ascii="宋体" w:hAnsi="宋体" w:eastAsia="宋体" w:cs="宋体"/>
          <w:sz w:val="21"/>
          <w:szCs w:val="21"/>
          <w:u w:val="single"/>
          <w:shd w:val="clear" w:color="auto" w:fill="FFFFFF"/>
        </w:rPr>
        <w:t xml:space="preserve">      </w:t>
      </w:r>
      <w:r>
        <w:rPr>
          <w:rFonts w:hint="eastAsia" w:ascii="宋体" w:hAnsi="宋体" w:eastAsia="宋体" w:cs="宋体"/>
          <w:sz w:val="21"/>
          <w:szCs w:val="21"/>
          <w:shd w:val="clear" w:color="auto" w:fill="FFFFFF"/>
        </w:rPr>
        <w:t>年</w:t>
      </w:r>
      <w:r>
        <w:rPr>
          <w:rFonts w:hint="eastAsia" w:ascii="宋体" w:hAnsi="宋体" w:eastAsia="宋体" w:cs="宋体"/>
          <w:sz w:val="21"/>
          <w:szCs w:val="21"/>
          <w:u w:val="single"/>
          <w:shd w:val="clear" w:color="auto" w:fill="FFFFFF"/>
        </w:rPr>
        <w:t xml:space="preserve">    </w:t>
      </w:r>
      <w:r>
        <w:rPr>
          <w:rFonts w:hint="eastAsia" w:ascii="宋体" w:hAnsi="宋体" w:eastAsia="宋体" w:cs="宋体"/>
          <w:sz w:val="21"/>
          <w:szCs w:val="21"/>
          <w:shd w:val="clear" w:color="auto" w:fill="FFFFFF"/>
        </w:rPr>
        <w:t>月</w:t>
      </w:r>
      <w:r>
        <w:rPr>
          <w:rFonts w:hint="eastAsia" w:ascii="宋体" w:hAnsi="宋体" w:eastAsia="宋体" w:cs="宋体"/>
          <w:sz w:val="21"/>
          <w:szCs w:val="21"/>
          <w:u w:val="single"/>
          <w:shd w:val="clear" w:color="auto" w:fill="FFFFFF"/>
        </w:rPr>
        <w:t xml:space="preserve">    </w:t>
      </w:r>
      <w:r>
        <w:rPr>
          <w:rFonts w:hint="eastAsia" w:ascii="宋体" w:hAnsi="宋体" w:eastAsia="宋体" w:cs="宋体"/>
          <w:sz w:val="21"/>
          <w:szCs w:val="21"/>
          <w:shd w:val="clear" w:color="auto" w:fill="FFFFFF"/>
        </w:rPr>
        <w:t>日</w:t>
      </w:r>
    </w:p>
    <w:p>
      <w:pPr>
        <w:pStyle w:val="6"/>
        <w:widowControl/>
        <w:shd w:val="clear" w:color="auto" w:fill="FFFFFF"/>
        <w:spacing w:before="0" w:beforeAutospacing="0" w:after="0" w:afterAutospacing="0" w:line="480" w:lineRule="exact"/>
        <w:ind w:firstLine="480"/>
        <w:jc w:val="both"/>
        <w:rPr>
          <w:rFonts w:ascii="宋体" w:hAnsi="宋体" w:eastAsia="宋体" w:cs="宋体"/>
          <w:sz w:val="21"/>
          <w:szCs w:val="21"/>
          <w:shd w:val="clear" w:color="auto" w:fill="FFFFFF"/>
        </w:rPr>
      </w:pPr>
    </w:p>
    <w:p>
      <w:pPr>
        <w:autoSpaceDE w:val="0"/>
        <w:autoSpaceDN w:val="0"/>
        <w:spacing w:line="480" w:lineRule="exact"/>
        <w:rPr>
          <w:rFonts w:ascii="宋体" w:hAnsi="宋体" w:eastAsia="宋体" w:cs="宋体"/>
          <w:szCs w:val="21"/>
        </w:rPr>
      </w:pPr>
      <w:r>
        <w:rPr>
          <w:rFonts w:hint="eastAsia" w:ascii="宋体" w:hAnsi="宋体" w:eastAsia="宋体" w:cs="宋体"/>
          <w:szCs w:val="21"/>
        </w:rPr>
        <w:t>注：1.投标总报价包含成本、运输、税金、培训、安装调试及正常使用之前等一切与之相关费用。</w:t>
      </w:r>
    </w:p>
    <w:p>
      <w:pPr>
        <w:autoSpaceDE w:val="0"/>
        <w:autoSpaceDN w:val="0"/>
        <w:spacing w:line="480" w:lineRule="exact"/>
        <w:rPr>
          <w:rFonts w:ascii="宋体" w:hAnsi="宋体" w:eastAsia="宋体" w:cs="宋体"/>
          <w:szCs w:val="21"/>
        </w:rPr>
      </w:pPr>
      <w:r>
        <w:rPr>
          <w:rFonts w:hint="eastAsia" w:ascii="宋体" w:hAnsi="宋体" w:eastAsia="宋体" w:cs="宋体"/>
          <w:szCs w:val="21"/>
        </w:rPr>
        <w:t xml:space="preserve">    2.货物的技术指标内容应与采购文件的要求相对应，且有准确的描述。</w:t>
      </w:r>
    </w:p>
    <w:p>
      <w:pPr>
        <w:autoSpaceDE w:val="0"/>
        <w:autoSpaceDN w:val="0"/>
        <w:spacing w:line="480" w:lineRule="exact"/>
        <w:ind w:firstLine="210" w:firstLineChars="100"/>
        <w:rPr>
          <w:rFonts w:ascii="宋体" w:hAnsi="宋体" w:eastAsia="宋体" w:cs="宋体"/>
          <w:szCs w:val="21"/>
        </w:rPr>
      </w:pPr>
      <w:r>
        <w:rPr>
          <w:rFonts w:hint="eastAsia" w:ascii="宋体" w:hAnsi="宋体" w:eastAsia="宋体" w:cs="宋体"/>
          <w:szCs w:val="21"/>
        </w:rPr>
        <w:t xml:space="preserve">  3.委托代理人需有委托书。</w:t>
      </w:r>
    </w:p>
    <w:p>
      <w:pPr>
        <w:autoSpaceDE w:val="0"/>
        <w:autoSpaceDN w:val="0"/>
        <w:spacing w:line="480" w:lineRule="exact"/>
        <w:ind w:firstLine="210" w:firstLineChars="100"/>
        <w:rPr>
          <w:rFonts w:ascii="宋体" w:hAnsi="宋体" w:eastAsia="宋体" w:cs="宋体"/>
          <w:szCs w:val="21"/>
        </w:rPr>
      </w:pPr>
      <w:r>
        <w:rPr>
          <w:rFonts w:hint="eastAsia" w:ascii="宋体" w:hAnsi="宋体" w:eastAsia="宋体" w:cs="宋体"/>
          <w:szCs w:val="21"/>
        </w:rPr>
        <w:t xml:space="preserve">  4.上表行数可任意增减。</w:t>
      </w:r>
    </w:p>
    <w:p>
      <w:pPr>
        <w:autoSpaceDE w:val="0"/>
        <w:autoSpaceDN w:val="0"/>
        <w:spacing w:line="480" w:lineRule="exact"/>
        <w:ind w:firstLine="210" w:firstLineChars="100"/>
        <w:rPr>
          <w:rFonts w:ascii="宋体" w:hAnsi="宋体" w:eastAsia="宋体" w:cs="宋体"/>
          <w:szCs w:val="21"/>
        </w:rPr>
      </w:pPr>
    </w:p>
    <w:p>
      <w:pPr>
        <w:pStyle w:val="2"/>
        <w:rPr>
          <w:rFonts w:hint="default" w:ascii="宋体" w:eastAsia="宋体" w:cs="宋体"/>
          <w:sz w:val="21"/>
          <w:szCs w:val="21"/>
        </w:rPr>
      </w:pPr>
      <w:bookmarkStart w:id="1" w:name="_Toc448764665"/>
      <w:r>
        <w:rPr>
          <w:rFonts w:ascii="宋体" w:eastAsia="宋体" w:cs="宋体"/>
          <w:b/>
          <w:kern w:val="0"/>
          <w:sz w:val="24"/>
        </w:rPr>
        <w:t>温县农林局2016年区域沼气服务站建设项目</w:t>
      </w:r>
      <w:r>
        <w:rPr>
          <w:rFonts w:ascii="宋体" w:eastAsia="宋体" w:cs="宋体"/>
          <w:b/>
          <w:bCs/>
          <w:kern w:val="0"/>
          <w:sz w:val="24"/>
        </w:rPr>
        <w:t>主要货物清单及技术要求</w:t>
      </w:r>
      <w:bookmarkEnd w:id="1"/>
    </w:p>
    <w:p>
      <w:pPr>
        <w:autoSpaceDE w:val="0"/>
        <w:autoSpaceDN w:val="0"/>
        <w:spacing w:line="480" w:lineRule="exact"/>
        <w:ind w:firstLine="210" w:firstLineChars="100"/>
        <w:rPr>
          <w:rFonts w:ascii="宋体" w:hAnsi="宋体" w:eastAsia="宋体" w:cs="宋体"/>
          <w:szCs w:val="21"/>
        </w:rPr>
      </w:pPr>
    </w:p>
    <w:tbl>
      <w:tblPr>
        <w:tblW w:w="8505"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567"/>
        <w:gridCol w:w="1482"/>
        <w:gridCol w:w="4237"/>
        <w:gridCol w:w="788"/>
        <w:gridCol w:w="776"/>
        <w:gridCol w:w="655"/>
      </w:tblGrid>
      <w:tr>
        <w:trPr>
          <w:trHeight w:val="610" w:hRule="atLeast"/>
        </w:trPr>
        <w:tc>
          <w:tcPr>
            <w:tcW w:w="567"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序号</w:t>
            </w:r>
          </w:p>
        </w:tc>
        <w:tc>
          <w:tcPr>
            <w:tcW w:w="1482"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设备</w:t>
            </w:r>
          </w:p>
          <w:p>
            <w:pPr>
              <w:widowControl/>
              <w:jc w:val="center"/>
              <w:rPr>
                <w:rFonts w:ascii="宋体" w:hAnsi="宋体" w:eastAsia="宋体" w:cs="宋体"/>
                <w:kern w:val="0"/>
                <w:szCs w:val="21"/>
              </w:rPr>
            </w:pPr>
            <w:r>
              <w:rPr>
                <w:rFonts w:hint="eastAsia" w:ascii="宋体" w:hAnsi="宋体" w:eastAsia="宋体" w:cs="宋体"/>
                <w:kern w:val="0"/>
                <w:szCs w:val="21"/>
              </w:rPr>
              <w:t>名称</w:t>
            </w:r>
          </w:p>
        </w:tc>
        <w:tc>
          <w:tcPr>
            <w:tcW w:w="4237"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技术要求</w:t>
            </w:r>
          </w:p>
        </w:tc>
        <w:tc>
          <w:tcPr>
            <w:tcW w:w="788"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单位</w:t>
            </w:r>
          </w:p>
        </w:tc>
        <w:tc>
          <w:tcPr>
            <w:tcW w:w="776"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数量</w:t>
            </w:r>
          </w:p>
        </w:tc>
        <w:tc>
          <w:tcPr>
            <w:tcW w:w="655"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备注</w:t>
            </w:r>
          </w:p>
        </w:tc>
      </w:tr>
      <w:tr>
        <w:trPr>
          <w:trHeight w:val="2461" w:hRule="atLeast"/>
        </w:trPr>
        <w:tc>
          <w:tcPr>
            <w:tcW w:w="567" w:type="dxa"/>
            <w:vAlign w:val="center"/>
          </w:tcPr>
          <w:p>
            <w:pPr>
              <w:widowControl/>
              <w:spacing w:line="440" w:lineRule="exact"/>
              <w:jc w:val="center"/>
              <w:rPr>
                <w:rFonts w:ascii="宋体" w:hAnsi="宋体" w:eastAsia="宋体" w:cs="宋体"/>
                <w:kern w:val="0"/>
                <w:szCs w:val="21"/>
              </w:rPr>
            </w:pPr>
            <w:r>
              <w:rPr>
                <w:rFonts w:hint="eastAsia" w:ascii="宋体" w:hAnsi="宋体" w:eastAsia="宋体" w:cs="宋体"/>
                <w:kern w:val="0"/>
                <w:szCs w:val="21"/>
              </w:rPr>
              <w:t>1</w:t>
            </w:r>
          </w:p>
        </w:tc>
        <w:tc>
          <w:tcPr>
            <w:tcW w:w="1482" w:type="dxa"/>
            <w:vAlign w:val="center"/>
          </w:tcPr>
          <w:p>
            <w:pPr>
              <w:widowControl/>
              <w:spacing w:line="440" w:lineRule="exact"/>
              <w:jc w:val="center"/>
              <w:rPr>
                <w:rFonts w:ascii="宋体" w:hAnsi="宋体" w:eastAsia="宋体" w:cs="宋体"/>
                <w:kern w:val="0"/>
                <w:szCs w:val="21"/>
              </w:rPr>
            </w:pPr>
            <w:r>
              <w:rPr>
                <w:rFonts w:hint="eastAsia" w:ascii="宋体" w:hAnsi="宋体" w:eastAsia="宋体" w:cs="宋体"/>
                <w:kern w:val="0"/>
                <w:szCs w:val="21"/>
              </w:rPr>
              <w:t>自走式沼渣沼液抽排设备</w:t>
            </w:r>
          </w:p>
        </w:tc>
        <w:tc>
          <w:tcPr>
            <w:tcW w:w="4237" w:type="dxa"/>
            <w:vAlign w:val="center"/>
          </w:tcPr>
          <w:p>
            <w:pPr>
              <w:widowControl/>
              <w:spacing w:line="400" w:lineRule="exact"/>
              <w:jc w:val="left"/>
              <w:rPr>
                <w:rFonts w:ascii="宋体" w:hAnsi="宋体" w:eastAsia="宋体" w:cs="宋体"/>
                <w:kern w:val="0"/>
                <w:szCs w:val="21"/>
              </w:rPr>
            </w:pPr>
            <w:r>
              <w:rPr>
                <w:rFonts w:hint="eastAsia" w:ascii="宋体" w:hAnsi="宋体" w:eastAsia="宋体" w:cs="宋体"/>
                <w:kern w:val="0"/>
                <w:szCs w:val="21"/>
              </w:rPr>
              <w:t>ZZ1.5型，半封闭式 ，最高车速45km/h,发动机型号/功率（kw)1110/14.7，驾驶室人数2人，带货厢和自卸功能；制动形式：液压制动，后桥形式：七档全浮连体式后桥，垂直吸程/抽送距离：≥5/20，抽速：50L/S,罐体容积1.5m³。</w:t>
            </w:r>
          </w:p>
        </w:tc>
        <w:tc>
          <w:tcPr>
            <w:tcW w:w="788" w:type="dxa"/>
            <w:vAlign w:val="center"/>
          </w:tcPr>
          <w:p>
            <w:pPr>
              <w:widowControl/>
              <w:spacing w:line="440" w:lineRule="exact"/>
              <w:jc w:val="center"/>
              <w:rPr>
                <w:rFonts w:ascii="宋体" w:hAnsi="宋体" w:eastAsia="宋体" w:cs="宋体"/>
                <w:kern w:val="0"/>
                <w:szCs w:val="21"/>
              </w:rPr>
            </w:pPr>
            <w:r>
              <w:rPr>
                <w:rFonts w:hint="eastAsia" w:ascii="宋体" w:hAnsi="宋体" w:eastAsia="宋体" w:cs="宋体"/>
                <w:kern w:val="0"/>
                <w:szCs w:val="21"/>
              </w:rPr>
              <w:t>台</w:t>
            </w:r>
          </w:p>
        </w:tc>
        <w:tc>
          <w:tcPr>
            <w:tcW w:w="776" w:type="dxa"/>
            <w:vAlign w:val="center"/>
          </w:tcPr>
          <w:p>
            <w:pPr>
              <w:widowControl/>
              <w:spacing w:line="440" w:lineRule="exact"/>
              <w:jc w:val="center"/>
              <w:rPr>
                <w:rFonts w:ascii="宋体" w:hAnsi="宋体" w:eastAsia="宋体" w:cs="宋体"/>
                <w:kern w:val="0"/>
                <w:szCs w:val="21"/>
              </w:rPr>
            </w:pPr>
            <w:r>
              <w:rPr>
                <w:rFonts w:hint="eastAsia" w:ascii="宋体" w:hAnsi="宋体" w:eastAsia="宋体" w:cs="宋体"/>
                <w:kern w:val="0"/>
                <w:szCs w:val="21"/>
              </w:rPr>
              <w:t>2</w:t>
            </w:r>
          </w:p>
        </w:tc>
        <w:tc>
          <w:tcPr>
            <w:tcW w:w="655" w:type="dxa"/>
            <w:vAlign w:val="center"/>
          </w:tcPr>
          <w:p>
            <w:pPr>
              <w:widowControl/>
              <w:jc w:val="center"/>
              <w:rPr>
                <w:rFonts w:ascii="宋体" w:hAnsi="宋体" w:eastAsia="宋体" w:cs="宋体"/>
                <w:kern w:val="0"/>
                <w:szCs w:val="21"/>
              </w:rPr>
            </w:pPr>
          </w:p>
        </w:tc>
      </w:tr>
      <w:tr>
        <w:trPr>
          <w:trHeight w:val="760" w:hRule="atLeast"/>
        </w:trPr>
        <w:tc>
          <w:tcPr>
            <w:tcW w:w="567" w:type="dxa"/>
            <w:vAlign w:val="center"/>
          </w:tcPr>
          <w:p>
            <w:pPr>
              <w:widowControl/>
              <w:spacing w:line="440" w:lineRule="exact"/>
              <w:jc w:val="center"/>
              <w:rPr>
                <w:rFonts w:ascii="宋体" w:hAnsi="宋体" w:eastAsia="宋体" w:cs="宋体"/>
                <w:kern w:val="0"/>
                <w:szCs w:val="21"/>
              </w:rPr>
            </w:pPr>
            <w:r>
              <w:rPr>
                <w:rFonts w:hint="eastAsia" w:ascii="宋体" w:hAnsi="宋体" w:eastAsia="宋体" w:cs="宋体"/>
                <w:kern w:val="0"/>
                <w:szCs w:val="21"/>
              </w:rPr>
              <w:t>2</w:t>
            </w:r>
          </w:p>
        </w:tc>
        <w:tc>
          <w:tcPr>
            <w:tcW w:w="1482" w:type="dxa"/>
            <w:vAlign w:val="center"/>
          </w:tcPr>
          <w:p>
            <w:pPr>
              <w:widowControl/>
              <w:spacing w:line="440" w:lineRule="exact"/>
              <w:jc w:val="center"/>
              <w:rPr>
                <w:rFonts w:ascii="宋体" w:hAnsi="宋体" w:eastAsia="宋体" w:cs="宋体"/>
                <w:kern w:val="0"/>
                <w:szCs w:val="21"/>
              </w:rPr>
            </w:pPr>
            <w:r>
              <w:rPr>
                <w:rFonts w:hint="eastAsia" w:ascii="宋体" w:hAnsi="宋体" w:eastAsia="宋体" w:cs="宋体"/>
                <w:kern w:val="0"/>
                <w:szCs w:val="21"/>
              </w:rPr>
              <w:t>自卸三轮车</w:t>
            </w:r>
          </w:p>
        </w:tc>
        <w:tc>
          <w:tcPr>
            <w:tcW w:w="4237" w:type="dxa"/>
            <w:vAlign w:val="center"/>
          </w:tcPr>
          <w:p>
            <w:pPr>
              <w:widowControl/>
              <w:spacing w:line="400" w:lineRule="exact"/>
              <w:jc w:val="left"/>
              <w:rPr>
                <w:rFonts w:ascii="宋体" w:hAnsi="宋体" w:eastAsia="宋体" w:cs="宋体"/>
                <w:kern w:val="0"/>
                <w:szCs w:val="21"/>
              </w:rPr>
            </w:pPr>
            <w:r>
              <w:rPr>
                <w:rFonts w:hint="eastAsia" w:ascii="宋体" w:hAnsi="宋体" w:eastAsia="宋体" w:cs="宋体"/>
                <w:kern w:val="0"/>
                <w:szCs w:val="21"/>
              </w:rPr>
              <w:t>18马力自卸，半封闭式，以产品合格证为依据。</w:t>
            </w:r>
          </w:p>
        </w:tc>
        <w:tc>
          <w:tcPr>
            <w:tcW w:w="788" w:type="dxa"/>
            <w:vAlign w:val="center"/>
          </w:tcPr>
          <w:p>
            <w:pPr>
              <w:widowControl/>
              <w:spacing w:line="440" w:lineRule="exact"/>
              <w:jc w:val="center"/>
              <w:rPr>
                <w:rFonts w:ascii="宋体" w:hAnsi="宋体" w:eastAsia="宋体" w:cs="宋体"/>
                <w:kern w:val="0"/>
                <w:szCs w:val="21"/>
              </w:rPr>
            </w:pPr>
            <w:r>
              <w:rPr>
                <w:rFonts w:hint="eastAsia" w:ascii="宋体" w:hAnsi="宋体" w:eastAsia="宋体" w:cs="宋体"/>
                <w:kern w:val="0"/>
                <w:szCs w:val="21"/>
              </w:rPr>
              <w:t>台</w:t>
            </w:r>
          </w:p>
        </w:tc>
        <w:tc>
          <w:tcPr>
            <w:tcW w:w="776" w:type="dxa"/>
            <w:vAlign w:val="center"/>
          </w:tcPr>
          <w:p>
            <w:pPr>
              <w:widowControl/>
              <w:spacing w:line="440" w:lineRule="exact"/>
              <w:jc w:val="center"/>
              <w:rPr>
                <w:rFonts w:ascii="宋体" w:hAnsi="宋体" w:eastAsia="宋体" w:cs="宋体"/>
                <w:kern w:val="0"/>
                <w:szCs w:val="21"/>
              </w:rPr>
            </w:pPr>
            <w:r>
              <w:rPr>
                <w:rFonts w:hint="eastAsia" w:ascii="宋体" w:hAnsi="宋体" w:eastAsia="宋体" w:cs="宋体"/>
                <w:kern w:val="0"/>
                <w:szCs w:val="21"/>
              </w:rPr>
              <w:t>1</w:t>
            </w:r>
          </w:p>
        </w:tc>
        <w:tc>
          <w:tcPr>
            <w:tcW w:w="655" w:type="dxa"/>
            <w:vAlign w:val="center"/>
          </w:tcPr>
          <w:p>
            <w:pPr>
              <w:widowControl/>
              <w:jc w:val="center"/>
              <w:rPr>
                <w:rFonts w:ascii="宋体" w:hAnsi="宋体" w:eastAsia="宋体" w:cs="宋体"/>
                <w:kern w:val="0"/>
                <w:szCs w:val="21"/>
              </w:rPr>
            </w:pPr>
          </w:p>
        </w:tc>
      </w:tr>
    </w:tbl>
    <w:p>
      <w:pPr>
        <w:spacing w:line="480" w:lineRule="exact"/>
        <w:rPr>
          <w:rFonts w:ascii="宋体" w:hAnsi="宋体" w:eastAsia="宋体" w:cs="宋体"/>
          <w:b/>
          <w:bCs/>
          <w:szCs w:val="21"/>
        </w:rPr>
      </w:pPr>
      <w:r>
        <w:rPr>
          <w:rFonts w:hint="eastAsia" w:ascii="宋体" w:hAnsi="宋体" w:eastAsia="宋体" w:cs="宋体"/>
          <w:b/>
          <w:bCs/>
          <w:szCs w:val="21"/>
        </w:rPr>
        <w:t xml:space="preserve">     四、供应商资质要求</w:t>
      </w:r>
    </w:p>
    <w:p>
      <w:pPr>
        <w:spacing w:line="480" w:lineRule="exact"/>
        <w:ind w:firstLine="480"/>
        <w:rPr>
          <w:rFonts w:ascii="宋体" w:hAnsi="宋体" w:eastAsia="宋体" w:cs="宋体"/>
          <w:szCs w:val="21"/>
        </w:rPr>
      </w:pPr>
      <w:r>
        <w:rPr>
          <w:rFonts w:hint="eastAsia" w:ascii="宋体" w:hAnsi="宋体" w:eastAsia="宋体" w:cs="宋体"/>
          <w:szCs w:val="21"/>
        </w:rPr>
        <w:t>1、符合《政府采购法》第二十二条规定的条件；</w:t>
      </w:r>
    </w:p>
    <w:p>
      <w:pPr>
        <w:autoSpaceDE w:val="0"/>
        <w:autoSpaceDN w:val="0"/>
        <w:spacing w:line="480" w:lineRule="exact"/>
        <w:ind w:firstLine="420" w:firstLineChars="200"/>
        <w:rPr>
          <w:rFonts w:ascii="宋体" w:hAnsi="宋体" w:eastAsia="宋体" w:cs="宋体"/>
          <w:kern w:val="0"/>
          <w:szCs w:val="21"/>
        </w:rPr>
      </w:pPr>
      <w:r>
        <w:rPr>
          <w:rFonts w:hint="eastAsia" w:ascii="宋体" w:hAnsi="宋体" w:eastAsia="宋体" w:cs="宋体"/>
          <w:kern w:val="0"/>
          <w:szCs w:val="21"/>
        </w:rPr>
        <w:t>（1）具有独立承担民事责任的能力；</w:t>
      </w:r>
    </w:p>
    <w:p>
      <w:pPr>
        <w:autoSpaceDE w:val="0"/>
        <w:autoSpaceDN w:val="0"/>
        <w:spacing w:line="480" w:lineRule="exact"/>
        <w:ind w:firstLine="420" w:firstLineChars="200"/>
        <w:rPr>
          <w:rFonts w:ascii="宋体" w:hAnsi="宋体" w:eastAsia="宋体" w:cs="宋体"/>
          <w:kern w:val="0"/>
          <w:szCs w:val="21"/>
        </w:rPr>
      </w:pPr>
      <w:r>
        <w:rPr>
          <w:rFonts w:hint="eastAsia" w:ascii="宋体" w:hAnsi="宋体" w:eastAsia="宋体" w:cs="宋体"/>
          <w:kern w:val="0"/>
          <w:szCs w:val="21"/>
        </w:rPr>
        <w:t>（2）具有良好的商业信誉和健全的财务会计制度；</w:t>
      </w:r>
    </w:p>
    <w:p>
      <w:pPr>
        <w:autoSpaceDE w:val="0"/>
        <w:autoSpaceDN w:val="0"/>
        <w:spacing w:line="480" w:lineRule="exact"/>
        <w:ind w:firstLine="420" w:firstLineChars="200"/>
        <w:rPr>
          <w:rFonts w:ascii="宋体" w:hAnsi="宋体" w:eastAsia="宋体" w:cs="宋体"/>
          <w:kern w:val="0"/>
          <w:szCs w:val="21"/>
        </w:rPr>
      </w:pPr>
      <w:r>
        <w:rPr>
          <w:rFonts w:hint="eastAsia" w:ascii="宋体" w:hAnsi="宋体" w:eastAsia="宋体" w:cs="宋体"/>
          <w:kern w:val="0"/>
          <w:szCs w:val="21"/>
        </w:rPr>
        <w:t>（3）具有履行合同所必需的设备和专业技术能力；</w:t>
      </w:r>
    </w:p>
    <w:p>
      <w:pPr>
        <w:autoSpaceDE w:val="0"/>
        <w:autoSpaceDN w:val="0"/>
        <w:spacing w:line="480" w:lineRule="exact"/>
        <w:ind w:firstLine="420" w:firstLineChars="200"/>
        <w:rPr>
          <w:rFonts w:ascii="宋体" w:hAnsi="宋体" w:eastAsia="宋体" w:cs="宋体"/>
          <w:kern w:val="0"/>
          <w:szCs w:val="21"/>
        </w:rPr>
      </w:pPr>
      <w:r>
        <w:rPr>
          <w:rFonts w:hint="eastAsia" w:ascii="宋体" w:hAnsi="宋体" w:eastAsia="宋体" w:cs="宋体"/>
          <w:kern w:val="0"/>
          <w:szCs w:val="21"/>
        </w:rPr>
        <w:t>（4）有依法缴纳税收和社会保障资金的良好记录；</w:t>
      </w:r>
    </w:p>
    <w:p>
      <w:pPr>
        <w:autoSpaceDE w:val="0"/>
        <w:autoSpaceDN w:val="0"/>
        <w:spacing w:line="480" w:lineRule="exact"/>
        <w:ind w:firstLine="420" w:firstLineChars="200"/>
        <w:rPr>
          <w:rFonts w:ascii="宋体" w:hAnsi="宋体" w:eastAsia="宋体" w:cs="宋体"/>
          <w:kern w:val="0"/>
          <w:szCs w:val="21"/>
        </w:rPr>
      </w:pPr>
      <w:r>
        <w:rPr>
          <w:rFonts w:hint="eastAsia" w:ascii="宋体" w:hAnsi="宋体" w:eastAsia="宋体" w:cs="宋体"/>
          <w:kern w:val="0"/>
          <w:szCs w:val="21"/>
        </w:rPr>
        <w:t>（5）参加政府采购活动前三年内，在经营活动中没有重大违法记录；</w:t>
      </w:r>
    </w:p>
    <w:p>
      <w:pPr>
        <w:autoSpaceDE w:val="0"/>
        <w:autoSpaceDN w:val="0"/>
        <w:spacing w:line="480" w:lineRule="exact"/>
        <w:ind w:firstLine="420" w:firstLineChars="200"/>
        <w:rPr>
          <w:rFonts w:ascii="宋体" w:hAnsi="宋体" w:eastAsia="宋体" w:cs="宋体"/>
          <w:kern w:val="0"/>
          <w:szCs w:val="21"/>
        </w:rPr>
      </w:pPr>
      <w:r>
        <w:rPr>
          <w:rFonts w:hint="eastAsia" w:ascii="宋体" w:hAnsi="宋体" w:eastAsia="宋体" w:cs="宋体"/>
          <w:kern w:val="0"/>
          <w:szCs w:val="21"/>
        </w:rPr>
        <w:t>（6）法律、行政法规规定的其他条件。</w:t>
      </w:r>
    </w:p>
    <w:p>
      <w:pPr>
        <w:autoSpaceDE w:val="0"/>
        <w:autoSpaceDN w:val="0"/>
        <w:spacing w:line="480" w:lineRule="exact"/>
        <w:rPr>
          <w:rFonts w:ascii="宋体" w:hAnsi="宋体" w:eastAsia="宋体" w:cs="宋体"/>
          <w:kern w:val="0"/>
          <w:szCs w:val="21"/>
        </w:rPr>
      </w:pPr>
      <w:r>
        <w:rPr>
          <w:rFonts w:hint="eastAsia" w:ascii="宋体" w:hAnsi="宋体" w:eastAsia="宋体" w:cs="宋体"/>
          <w:kern w:val="0"/>
          <w:szCs w:val="21"/>
        </w:rPr>
        <w:t xml:space="preserve">     2、供应商须具有有效的营业执照（副本）、税务登记证（副本）、组织机构代码证、法定代表人（负责人）证明或法定代表人授权委托书及本人身</w:t>
      </w:r>
      <w:bookmarkStart w:id="2" w:name="_GoBack"/>
      <w:bookmarkEnd w:id="2"/>
      <w:r>
        <w:rPr>
          <w:rFonts w:hint="eastAsia" w:ascii="宋体" w:hAnsi="宋体" w:eastAsia="宋体" w:cs="宋体"/>
          <w:kern w:val="0"/>
          <w:szCs w:val="21"/>
        </w:rPr>
        <w:t>份证、保证金缴款凭证、依法缴纳社会保障资金的证明、依法纳税证明、财务报告或财务报表、在经营活动中没有重大违法记录声明。</w:t>
      </w:r>
    </w:p>
    <w:p>
      <w:pPr>
        <w:autoSpaceDE w:val="0"/>
        <w:autoSpaceDN w:val="0"/>
        <w:spacing w:line="480" w:lineRule="exact"/>
        <w:rPr>
          <w:rFonts w:ascii="宋体" w:hAnsi="宋体" w:eastAsia="宋体" w:cs="宋体"/>
          <w:szCs w:val="21"/>
        </w:rPr>
      </w:pPr>
      <w:r>
        <w:rPr>
          <w:rFonts w:hint="eastAsia" w:ascii="宋体" w:hAnsi="宋体" w:eastAsia="宋体" w:cs="宋体"/>
          <w:kern w:val="0"/>
          <w:szCs w:val="21"/>
        </w:rPr>
        <w:t xml:space="preserve">    </w:t>
      </w:r>
      <w:r>
        <w:rPr>
          <w:rFonts w:hint="eastAsia" w:ascii="宋体" w:hAnsi="宋体" w:eastAsia="宋体" w:cs="宋体"/>
          <w:b/>
          <w:bCs/>
          <w:szCs w:val="21"/>
        </w:rPr>
        <w:t>五、采购文件发售信息</w:t>
      </w:r>
    </w:p>
    <w:p>
      <w:pPr>
        <w:spacing w:line="480" w:lineRule="exact"/>
        <w:ind w:firstLine="482"/>
        <w:rPr>
          <w:rFonts w:ascii="宋体" w:hAnsi="宋体" w:eastAsia="宋体" w:cs="宋体"/>
          <w:szCs w:val="21"/>
        </w:rPr>
      </w:pPr>
      <w:r>
        <w:rPr>
          <w:rFonts w:hint="eastAsia" w:ascii="宋体" w:hAnsi="宋体" w:eastAsia="宋体" w:cs="宋体"/>
          <w:szCs w:val="21"/>
        </w:rPr>
        <w:t>1、本项目询价文件可以自询价公告发出之日起通过《河南省政府采购网》或《温县公共资源交易中心网》或《河南省公共服务平台网》网站下载方式获取。如有补遗网上另行通知，相应顺延开标时间。</w:t>
      </w:r>
    </w:p>
    <w:p>
      <w:pPr>
        <w:spacing w:line="480" w:lineRule="exact"/>
        <w:ind w:firstLine="480"/>
        <w:rPr>
          <w:rFonts w:ascii="宋体" w:hAnsi="宋体" w:eastAsia="宋体" w:cs="宋体"/>
          <w:szCs w:val="21"/>
        </w:rPr>
      </w:pPr>
      <w:r>
        <w:rPr>
          <w:rFonts w:hint="eastAsia" w:ascii="宋体" w:hAnsi="宋体" w:eastAsia="宋体" w:cs="宋体"/>
          <w:szCs w:val="21"/>
        </w:rPr>
        <w:t>2、询价文件出售地点：温县公共资源交易中心网或河南省政府采购网或河南省公共服务平台网。</w:t>
      </w:r>
    </w:p>
    <w:p>
      <w:pPr>
        <w:spacing w:line="480" w:lineRule="exact"/>
        <w:ind w:firstLine="480"/>
        <w:rPr>
          <w:rFonts w:ascii="宋体" w:hAnsi="宋体" w:eastAsia="宋体" w:cs="宋体"/>
          <w:szCs w:val="21"/>
        </w:rPr>
      </w:pPr>
      <w:r>
        <w:rPr>
          <w:rFonts w:hint="eastAsia" w:ascii="宋体" w:hAnsi="宋体" w:eastAsia="宋体" w:cs="宋体"/>
          <w:szCs w:val="21"/>
        </w:rPr>
        <w:t>3、询价文件出售方式：自行下载方式获取。</w:t>
      </w:r>
    </w:p>
    <w:p>
      <w:pPr>
        <w:spacing w:line="480" w:lineRule="exact"/>
        <w:ind w:firstLine="480"/>
        <w:rPr>
          <w:rFonts w:ascii="宋体" w:hAnsi="宋体" w:eastAsia="宋体" w:cs="宋体"/>
          <w:szCs w:val="21"/>
        </w:rPr>
      </w:pPr>
      <w:r>
        <w:rPr>
          <w:rFonts w:hint="eastAsia" w:ascii="宋体" w:hAnsi="宋体" w:eastAsia="宋体" w:cs="宋体"/>
          <w:szCs w:val="21"/>
        </w:rPr>
        <w:t>4、询价文件售价：300 元/份。</w:t>
      </w:r>
    </w:p>
    <w:p>
      <w:pPr>
        <w:spacing w:line="480" w:lineRule="exact"/>
        <w:rPr>
          <w:rFonts w:ascii="宋体" w:hAnsi="宋体" w:eastAsia="宋体" w:cs="宋体"/>
          <w:b/>
          <w:bCs/>
          <w:szCs w:val="21"/>
        </w:rPr>
      </w:pPr>
      <w:r>
        <w:rPr>
          <w:rFonts w:hint="eastAsia" w:ascii="宋体" w:hAnsi="宋体" w:eastAsia="宋体" w:cs="宋体"/>
          <w:b/>
          <w:bCs/>
          <w:szCs w:val="21"/>
        </w:rPr>
        <w:t xml:space="preserve">    六、采购文件接收信息</w:t>
      </w:r>
    </w:p>
    <w:p>
      <w:pPr>
        <w:spacing w:line="480" w:lineRule="exact"/>
        <w:ind w:firstLine="480"/>
        <w:rPr>
          <w:rFonts w:ascii="宋体" w:hAnsi="宋体" w:eastAsia="宋体" w:cs="宋体"/>
          <w:szCs w:val="21"/>
        </w:rPr>
      </w:pPr>
      <w:r>
        <w:rPr>
          <w:rFonts w:hint="eastAsia" w:ascii="宋体" w:hAnsi="宋体" w:eastAsia="宋体" w:cs="宋体"/>
          <w:szCs w:val="21"/>
        </w:rPr>
        <w:t xml:space="preserve">1、询价文件接收截止时间：2016年8月29日9时00 分 </w:t>
      </w:r>
    </w:p>
    <w:p>
      <w:pPr>
        <w:spacing w:line="480" w:lineRule="exact"/>
        <w:ind w:firstLine="480"/>
        <w:rPr>
          <w:rFonts w:ascii="宋体" w:hAnsi="宋体" w:eastAsia="宋体" w:cs="宋体"/>
          <w:szCs w:val="21"/>
        </w:rPr>
      </w:pPr>
      <w:r>
        <w:rPr>
          <w:rFonts w:hint="eastAsia" w:ascii="宋体" w:hAnsi="宋体" w:eastAsia="宋体" w:cs="宋体"/>
          <w:szCs w:val="21"/>
        </w:rPr>
        <w:t>2、询价文件接受地点： 温县公共资源交易中心三楼开标厅（温县黄河西路366号）</w:t>
      </w:r>
    </w:p>
    <w:p>
      <w:pPr>
        <w:spacing w:line="480" w:lineRule="exact"/>
        <w:ind w:firstLine="480"/>
        <w:rPr>
          <w:rFonts w:ascii="宋体" w:hAnsi="宋体" w:eastAsia="宋体" w:cs="宋体"/>
          <w:szCs w:val="21"/>
        </w:rPr>
      </w:pPr>
      <w:r>
        <w:rPr>
          <w:rFonts w:hint="eastAsia" w:ascii="宋体" w:hAnsi="宋体" w:eastAsia="宋体" w:cs="宋体"/>
          <w:szCs w:val="21"/>
        </w:rPr>
        <w:t>3、询价响应文件相关要求：</w:t>
      </w:r>
    </w:p>
    <w:p>
      <w:pPr>
        <w:spacing w:line="480" w:lineRule="exact"/>
        <w:rPr>
          <w:rFonts w:ascii="宋体" w:hAnsi="宋体" w:eastAsia="宋体" w:cs="宋体"/>
          <w:szCs w:val="21"/>
        </w:rPr>
      </w:pPr>
      <w:r>
        <w:rPr>
          <w:rFonts w:hint="eastAsia" w:ascii="宋体" w:hAnsi="宋体" w:eastAsia="宋体" w:cs="宋体"/>
          <w:szCs w:val="21"/>
        </w:rPr>
        <w:t xml:space="preserve">   （1）内容：应包含报价单、法定代表人或负责人证明及身份证复印件（或法定代表人授权委托书及被授权人身份证复印件）均加盖公章、资格审查资料（加盖公章的复印件）等。</w:t>
      </w:r>
    </w:p>
    <w:p>
      <w:pPr>
        <w:spacing w:line="480" w:lineRule="exact"/>
        <w:rPr>
          <w:rFonts w:ascii="宋体" w:hAnsi="宋体" w:eastAsia="宋体" w:cs="宋体"/>
          <w:szCs w:val="21"/>
          <w:lang w:val="zh-CN"/>
        </w:rPr>
      </w:pPr>
      <w:r>
        <w:rPr>
          <w:rFonts w:hint="eastAsia" w:ascii="宋体" w:hAnsi="宋体" w:eastAsia="宋体" w:cs="宋体"/>
          <w:szCs w:val="21"/>
        </w:rPr>
        <w:t xml:space="preserve">   </w:t>
      </w:r>
      <w:r>
        <w:rPr>
          <w:rFonts w:hint="eastAsia" w:ascii="宋体" w:hAnsi="宋体" w:eastAsia="宋体" w:cs="宋体"/>
          <w:szCs w:val="21"/>
          <w:lang w:val="zh-CN"/>
        </w:rPr>
        <w:t>（</w:t>
      </w:r>
      <w:r>
        <w:rPr>
          <w:rFonts w:hint="eastAsia" w:ascii="宋体" w:hAnsi="宋体" w:eastAsia="宋体" w:cs="宋体"/>
          <w:szCs w:val="21"/>
        </w:rPr>
        <w:t>2</w:t>
      </w:r>
      <w:r>
        <w:rPr>
          <w:rFonts w:hint="eastAsia" w:ascii="宋体" w:hAnsi="宋体" w:eastAsia="宋体" w:cs="宋体"/>
          <w:szCs w:val="21"/>
          <w:lang w:val="zh-CN"/>
        </w:rPr>
        <w:t>）报价文件需提供正本壹份、副本伍份，分别装订成册，且须单位法定代表人或其委托人签署。</w:t>
      </w:r>
    </w:p>
    <w:p>
      <w:pPr>
        <w:autoSpaceDE w:val="0"/>
        <w:autoSpaceDN w:val="0"/>
        <w:adjustRightInd w:val="0"/>
        <w:spacing w:line="480" w:lineRule="exact"/>
        <w:rPr>
          <w:rFonts w:ascii="宋体" w:hAnsi="宋体" w:eastAsia="宋体" w:cs="宋体"/>
          <w:szCs w:val="21"/>
          <w:lang w:val="zh-CN"/>
        </w:rPr>
      </w:pPr>
      <w:r>
        <w:rPr>
          <w:rFonts w:hint="eastAsia" w:ascii="宋体" w:hAnsi="宋体" w:eastAsia="宋体" w:cs="宋体"/>
          <w:szCs w:val="21"/>
        </w:rPr>
        <w:t xml:space="preserve">   </w:t>
      </w:r>
      <w:r>
        <w:rPr>
          <w:rFonts w:hint="eastAsia" w:ascii="宋体" w:hAnsi="宋体" w:eastAsia="宋体" w:cs="宋体"/>
          <w:szCs w:val="21"/>
          <w:lang w:val="zh-CN"/>
        </w:rPr>
        <w:t>（</w:t>
      </w:r>
      <w:r>
        <w:rPr>
          <w:rFonts w:hint="eastAsia" w:ascii="宋体" w:hAnsi="宋体" w:eastAsia="宋体" w:cs="宋体"/>
          <w:szCs w:val="21"/>
        </w:rPr>
        <w:t>3</w:t>
      </w:r>
      <w:r>
        <w:rPr>
          <w:rFonts w:hint="eastAsia" w:ascii="宋体" w:hAnsi="宋体" w:eastAsia="宋体" w:cs="宋体"/>
          <w:szCs w:val="21"/>
          <w:lang w:val="zh-CN"/>
        </w:rPr>
        <w:t>）报价文件应装入封袋密封并加盖公章，封面注明项目名称、供货商名称、地址。</w:t>
      </w:r>
    </w:p>
    <w:p>
      <w:pPr>
        <w:autoSpaceDE w:val="0"/>
        <w:autoSpaceDN w:val="0"/>
        <w:adjustRightInd w:val="0"/>
        <w:spacing w:line="480" w:lineRule="exact"/>
        <w:rPr>
          <w:rFonts w:ascii="宋体" w:hAnsi="宋体" w:eastAsia="宋体" w:cs="宋体"/>
          <w:szCs w:val="21"/>
          <w:lang w:val="zh-CN"/>
        </w:rPr>
      </w:pPr>
      <w:r>
        <w:rPr>
          <w:rFonts w:hint="eastAsia" w:ascii="宋体" w:hAnsi="宋体" w:eastAsia="宋体" w:cs="宋体"/>
          <w:szCs w:val="21"/>
        </w:rPr>
        <w:t xml:space="preserve">     </w:t>
      </w:r>
      <w:r>
        <w:rPr>
          <w:rFonts w:hint="eastAsia" w:ascii="宋体" w:hAnsi="宋体" w:eastAsia="宋体" w:cs="宋体"/>
          <w:szCs w:val="21"/>
          <w:lang w:val="zh-CN"/>
        </w:rPr>
        <w:t>4、其他有关事项</w:t>
      </w:r>
    </w:p>
    <w:p>
      <w:pPr>
        <w:pStyle w:val="6"/>
        <w:shd w:val="clear" w:color="auto" w:fill="FFFFFF"/>
        <w:spacing w:before="0" w:beforeAutospacing="0" w:after="0" w:afterAutospacing="0" w:line="480" w:lineRule="exact"/>
        <w:rPr>
          <w:rFonts w:ascii="宋体" w:hAnsi="宋体" w:eastAsia="宋体" w:cs="宋体"/>
          <w:b/>
          <w:sz w:val="21"/>
          <w:szCs w:val="21"/>
        </w:rPr>
      </w:pPr>
      <w:r>
        <w:rPr>
          <w:rFonts w:hint="eastAsia" w:ascii="宋体" w:hAnsi="宋体" w:eastAsia="宋体" w:cs="宋体"/>
          <w:kern w:val="2"/>
          <w:sz w:val="21"/>
          <w:szCs w:val="21"/>
        </w:rPr>
        <w:t xml:space="preserve">   （</w:t>
      </w:r>
      <w:r>
        <w:rPr>
          <w:rFonts w:hint="eastAsia" w:ascii="宋体" w:hAnsi="宋体" w:eastAsia="宋体" w:cs="宋体"/>
          <w:kern w:val="2"/>
          <w:sz w:val="21"/>
          <w:szCs w:val="21"/>
          <w:lang w:val="zh-CN"/>
        </w:rPr>
        <w:t>1）供应商应携带营业执照（副本）、税务登记证（副本）、组织机构代码证、法定代表人（负责人）证明或法定代表人授权委托书及本人身份证、保证金缴款凭证、依法缴纳社会保障资金的证明、依法纳税证明、财务报告或财务报表、在经营活动中没有重大违法记录声明（以上资料开标时提供原件，以备评委审查）。</w:t>
      </w:r>
    </w:p>
    <w:p>
      <w:pPr>
        <w:autoSpaceDE w:val="0"/>
        <w:autoSpaceDN w:val="0"/>
        <w:adjustRightInd w:val="0"/>
        <w:spacing w:line="480" w:lineRule="exact"/>
        <w:ind w:firstLine="420" w:firstLineChars="200"/>
        <w:rPr>
          <w:rFonts w:ascii="宋体" w:hAnsi="宋体" w:eastAsia="宋体" w:cs="宋体"/>
          <w:szCs w:val="21"/>
          <w:lang w:val="zh-CN"/>
        </w:rPr>
      </w:pPr>
      <w:r>
        <w:rPr>
          <w:rFonts w:hint="eastAsia" w:ascii="宋体" w:hAnsi="宋体" w:eastAsia="宋体" w:cs="宋体"/>
          <w:szCs w:val="21"/>
        </w:rPr>
        <w:t>（2）</w:t>
      </w:r>
      <w:r>
        <w:rPr>
          <w:rFonts w:hint="eastAsia" w:ascii="宋体" w:hAnsi="宋体" w:eastAsia="宋体" w:cs="宋体"/>
          <w:b/>
          <w:bCs/>
          <w:szCs w:val="21"/>
        </w:rPr>
        <w:t>询价保证金：保证金的金额600.00元整；保证金的形式：企业账户转帐</w:t>
      </w:r>
      <w:r>
        <w:rPr>
          <w:rFonts w:hint="eastAsia" w:ascii="宋体" w:hAnsi="宋体" w:eastAsia="宋体" w:cs="宋体"/>
          <w:szCs w:val="21"/>
        </w:rPr>
        <w:t>。</w:t>
      </w:r>
    </w:p>
    <w:p>
      <w:pPr>
        <w:autoSpaceDE w:val="0"/>
        <w:autoSpaceDN w:val="0"/>
        <w:adjustRightInd w:val="0"/>
        <w:spacing w:line="480" w:lineRule="exact"/>
        <w:rPr>
          <w:rFonts w:ascii="宋体" w:hAnsi="宋体" w:eastAsia="宋体" w:cs="宋体"/>
          <w:szCs w:val="21"/>
          <w:lang w:val="zh-CN"/>
        </w:rPr>
      </w:pPr>
      <w:r>
        <w:rPr>
          <w:rFonts w:hint="eastAsia" w:ascii="宋体" w:hAnsi="宋体" w:eastAsia="宋体" w:cs="宋体"/>
          <w:szCs w:val="21"/>
        </w:rPr>
        <w:t xml:space="preserve">       开    户：中国邮政储蓄银行有限责任公司温县温泉路支行</w:t>
      </w:r>
    </w:p>
    <w:p>
      <w:pPr>
        <w:autoSpaceDE w:val="0"/>
        <w:autoSpaceDN w:val="0"/>
        <w:adjustRightInd w:val="0"/>
        <w:spacing w:line="480" w:lineRule="exact"/>
        <w:rPr>
          <w:rFonts w:ascii="宋体" w:hAnsi="宋体" w:eastAsia="宋体" w:cs="宋体"/>
          <w:szCs w:val="21"/>
          <w:lang w:val="zh-CN"/>
        </w:rPr>
      </w:pPr>
      <w:r>
        <w:rPr>
          <w:rFonts w:hint="eastAsia" w:ascii="宋体" w:hAnsi="宋体" w:eastAsia="宋体" w:cs="宋体"/>
          <w:szCs w:val="21"/>
        </w:rPr>
        <w:t xml:space="preserve">       开户单位：温县财政国库支付中心公共资源交易专户  </w:t>
      </w:r>
    </w:p>
    <w:p>
      <w:pPr>
        <w:autoSpaceDE w:val="0"/>
        <w:autoSpaceDN w:val="0"/>
        <w:adjustRightInd w:val="0"/>
        <w:spacing w:line="480" w:lineRule="exact"/>
        <w:rPr>
          <w:rFonts w:ascii="宋体" w:hAnsi="宋体" w:eastAsia="宋体" w:cs="宋体"/>
          <w:szCs w:val="21"/>
          <w:lang w:val="zh-CN"/>
        </w:rPr>
      </w:pPr>
      <w:r>
        <w:rPr>
          <w:rFonts w:hint="eastAsia" w:ascii="宋体" w:hAnsi="宋体" w:eastAsia="宋体" w:cs="宋体"/>
          <w:szCs w:val="21"/>
        </w:rPr>
        <w:t xml:space="preserve">       账    号：100435110440010001</w:t>
      </w:r>
    </w:p>
    <w:p>
      <w:pPr>
        <w:autoSpaceDE w:val="0"/>
        <w:autoSpaceDN w:val="0"/>
        <w:adjustRightInd w:val="0"/>
        <w:spacing w:line="480" w:lineRule="exact"/>
        <w:rPr>
          <w:rFonts w:ascii="宋体" w:hAnsi="宋体" w:eastAsia="宋体" w:cs="宋体"/>
          <w:szCs w:val="21"/>
          <w:lang w:val="zh-CN"/>
        </w:rPr>
      </w:pPr>
      <w:r>
        <w:rPr>
          <w:rFonts w:hint="eastAsia" w:ascii="宋体" w:hAnsi="宋体" w:eastAsia="宋体" w:cs="宋体"/>
          <w:szCs w:val="21"/>
        </w:rPr>
        <w:t xml:space="preserve">       递交时间：响应人必须于 </w:t>
      </w:r>
      <w:r>
        <w:rPr>
          <w:rFonts w:hint="eastAsia" w:ascii="宋体" w:hAnsi="宋体" w:eastAsia="宋体" w:cs="宋体"/>
          <w:b/>
          <w:bCs/>
          <w:szCs w:val="21"/>
        </w:rPr>
        <w:t>2016 年 8 月 26 日16时前</w:t>
      </w:r>
      <w:r>
        <w:rPr>
          <w:rFonts w:hint="eastAsia" w:ascii="宋体" w:hAnsi="宋体" w:eastAsia="宋体" w:cs="宋体"/>
          <w:szCs w:val="21"/>
        </w:rPr>
        <w:t>，交至指定账户，以实际到账时间为准（注意1、附言请写清项目名称、项目编号2、请选择适当汇划方式，注意到账时间）。</w:t>
      </w:r>
    </w:p>
    <w:p>
      <w:pPr>
        <w:autoSpaceDE w:val="0"/>
        <w:autoSpaceDN w:val="0"/>
        <w:adjustRightInd w:val="0"/>
        <w:spacing w:line="480" w:lineRule="exact"/>
        <w:rPr>
          <w:rFonts w:ascii="宋体" w:hAnsi="宋体" w:eastAsia="宋体" w:cs="宋体"/>
          <w:szCs w:val="21"/>
          <w:lang w:val="zh-CN"/>
        </w:rPr>
      </w:pPr>
      <w:r>
        <w:rPr>
          <w:rFonts w:hint="eastAsia" w:ascii="宋体" w:hAnsi="宋体" w:eastAsia="宋体" w:cs="宋体"/>
          <w:szCs w:val="21"/>
        </w:rPr>
        <w:t xml:space="preserve">    未按本规定和要求提交保证金的，采购人有权拒收其文件；</w:t>
      </w:r>
    </w:p>
    <w:p>
      <w:pPr>
        <w:autoSpaceDE w:val="0"/>
        <w:autoSpaceDN w:val="0"/>
        <w:adjustRightInd w:val="0"/>
        <w:spacing w:line="480" w:lineRule="exact"/>
        <w:ind w:firstLine="420"/>
        <w:rPr>
          <w:rFonts w:ascii="宋体" w:hAnsi="宋体" w:eastAsia="宋体" w:cs="宋体"/>
          <w:szCs w:val="21"/>
        </w:rPr>
      </w:pPr>
      <w:r>
        <w:rPr>
          <w:rFonts w:hint="eastAsia" w:ascii="宋体" w:hAnsi="宋体" w:eastAsia="宋体" w:cs="宋体"/>
          <w:szCs w:val="21"/>
        </w:rPr>
        <w:t>未成交供应商的保证金在发出中标通知书后五个工作日内无息全额退还；</w:t>
      </w:r>
      <w:r>
        <w:rPr>
          <w:rFonts w:hint="eastAsia" w:ascii="宋体" w:hAnsi="宋体" w:eastAsia="宋体" w:cs="宋体"/>
          <w:b/>
          <w:bCs/>
          <w:szCs w:val="21"/>
        </w:rPr>
        <w:t>在提交询价响应文件截止时间前，对所提交的响应文件进行补充、修改或者撤回，未书面通知采购人、采购代理机构的，询价保证金不予退回，上交县国库。</w:t>
      </w:r>
    </w:p>
    <w:p>
      <w:pPr>
        <w:autoSpaceDE w:val="0"/>
        <w:autoSpaceDN w:val="0"/>
        <w:adjustRightInd w:val="0"/>
        <w:spacing w:line="480" w:lineRule="exact"/>
        <w:ind w:firstLine="422" w:firstLineChars="200"/>
        <w:rPr>
          <w:rFonts w:ascii="宋体" w:hAnsi="宋体" w:eastAsia="宋体" w:cs="宋体"/>
          <w:szCs w:val="21"/>
        </w:rPr>
      </w:pPr>
      <w:r>
        <w:rPr>
          <w:rFonts w:hint="eastAsia" w:ascii="宋体" w:hAnsi="宋体" w:eastAsia="宋体" w:cs="宋体"/>
          <w:b/>
          <w:bCs/>
          <w:szCs w:val="21"/>
        </w:rPr>
        <w:t>七、询价开标时间及地点</w:t>
      </w:r>
    </w:p>
    <w:p>
      <w:pPr>
        <w:spacing w:line="480" w:lineRule="exact"/>
        <w:ind w:firstLine="420" w:firstLineChars="200"/>
        <w:rPr>
          <w:rFonts w:ascii="宋体" w:hAnsi="宋体" w:eastAsia="宋体" w:cs="宋体"/>
          <w:szCs w:val="21"/>
          <w:highlight w:val="yellow"/>
        </w:rPr>
      </w:pPr>
      <w:r>
        <w:rPr>
          <w:rFonts w:hint="eastAsia" w:ascii="宋体" w:hAnsi="宋体" w:eastAsia="宋体" w:cs="宋体"/>
          <w:szCs w:val="21"/>
        </w:rPr>
        <w:t>1、询价开标时间：</w:t>
      </w:r>
      <w:r>
        <w:rPr>
          <w:rFonts w:hint="eastAsia" w:ascii="宋体" w:hAnsi="宋体" w:eastAsia="宋体" w:cs="宋体"/>
          <w:b/>
          <w:bCs/>
          <w:szCs w:val="21"/>
        </w:rPr>
        <w:t>2016年 8月 29 日 9 时 00 分</w:t>
      </w:r>
    </w:p>
    <w:p>
      <w:pPr>
        <w:spacing w:line="480" w:lineRule="exact"/>
        <w:ind w:firstLine="420" w:firstLineChars="200"/>
        <w:rPr>
          <w:rFonts w:ascii="宋体" w:hAnsi="宋体" w:eastAsia="宋体" w:cs="宋体"/>
          <w:szCs w:val="21"/>
        </w:rPr>
      </w:pPr>
      <w:r>
        <w:rPr>
          <w:rFonts w:hint="eastAsia" w:ascii="宋体" w:hAnsi="宋体" w:eastAsia="宋体" w:cs="宋体"/>
          <w:szCs w:val="21"/>
        </w:rPr>
        <w:t>2、询价开标地点：温县公共资源交易中心三楼开标厅</w:t>
      </w:r>
    </w:p>
    <w:p>
      <w:pPr>
        <w:spacing w:line="480" w:lineRule="exact"/>
        <w:ind w:firstLine="420" w:firstLineChars="200"/>
        <w:rPr>
          <w:rFonts w:ascii="宋体" w:hAnsi="宋体" w:eastAsia="宋体" w:cs="宋体"/>
          <w:szCs w:val="21"/>
        </w:rPr>
      </w:pPr>
      <w:r>
        <w:rPr>
          <w:rFonts w:hint="eastAsia" w:ascii="宋体" w:hAnsi="宋体" w:eastAsia="宋体" w:cs="宋体"/>
          <w:szCs w:val="21"/>
        </w:rPr>
        <w:t>3、投标总报价包含成本、运输、税金、培训、安装调试及正常使用之前等一切与之相关费用，交货地点为用户指定地点。</w:t>
      </w:r>
    </w:p>
    <w:p>
      <w:pPr>
        <w:spacing w:line="480" w:lineRule="exact"/>
        <w:ind w:firstLine="420" w:firstLineChars="200"/>
        <w:rPr>
          <w:rFonts w:ascii="宋体" w:hAnsi="宋体" w:eastAsia="宋体" w:cs="宋体"/>
          <w:szCs w:val="21"/>
        </w:rPr>
      </w:pPr>
      <w:r>
        <w:rPr>
          <w:rFonts w:hint="eastAsia" w:ascii="宋体" w:hAnsi="宋体" w:eastAsia="宋体" w:cs="宋体"/>
          <w:szCs w:val="21"/>
        </w:rPr>
        <w:t>4、本次采购是一次性报价，不接受递交报价文件后对报价的修改，须提交一式陆份的报价文件。</w:t>
      </w:r>
    </w:p>
    <w:p>
      <w:pPr>
        <w:spacing w:line="480" w:lineRule="exact"/>
        <w:ind w:firstLine="422" w:firstLineChars="200"/>
        <w:rPr>
          <w:rFonts w:ascii="宋体" w:hAnsi="宋体" w:eastAsia="宋体" w:cs="宋体"/>
          <w:szCs w:val="21"/>
        </w:rPr>
      </w:pPr>
      <w:r>
        <w:rPr>
          <w:rFonts w:hint="eastAsia" w:ascii="宋体" w:hAnsi="宋体" w:eastAsia="宋体" w:cs="宋体"/>
          <w:b/>
          <w:bCs/>
          <w:szCs w:val="21"/>
        </w:rPr>
        <w:t>八、询价会程序</w:t>
      </w:r>
    </w:p>
    <w:p>
      <w:pPr>
        <w:spacing w:line="480" w:lineRule="exact"/>
        <w:ind w:firstLine="420" w:firstLineChars="200"/>
        <w:rPr>
          <w:rFonts w:ascii="宋体" w:hAnsi="宋体" w:eastAsia="宋体" w:cs="宋体"/>
          <w:szCs w:val="21"/>
        </w:rPr>
      </w:pPr>
      <w:r>
        <w:rPr>
          <w:rFonts w:hint="eastAsia" w:ascii="宋体" w:hAnsi="宋体" w:eastAsia="宋体" w:cs="宋体"/>
          <w:szCs w:val="21"/>
        </w:rPr>
        <w:t>1、宣布会议纪律</w:t>
      </w:r>
    </w:p>
    <w:p>
      <w:pPr>
        <w:spacing w:line="480" w:lineRule="exact"/>
        <w:ind w:firstLine="420" w:firstLineChars="200"/>
        <w:rPr>
          <w:rFonts w:ascii="宋体" w:hAnsi="宋体" w:eastAsia="宋体" w:cs="宋体"/>
          <w:szCs w:val="21"/>
        </w:rPr>
      </w:pPr>
      <w:r>
        <w:rPr>
          <w:rFonts w:hint="eastAsia" w:ascii="宋体" w:hAnsi="宋体" w:eastAsia="宋体" w:cs="宋体"/>
          <w:szCs w:val="21"/>
        </w:rPr>
        <w:t>2、介绍出席开标会议的采购人与监督代表及供应商</w:t>
      </w:r>
    </w:p>
    <w:p>
      <w:pPr>
        <w:spacing w:line="480" w:lineRule="exact"/>
        <w:ind w:firstLine="420" w:firstLineChars="200"/>
        <w:rPr>
          <w:rFonts w:ascii="宋体" w:hAnsi="宋体" w:eastAsia="宋体" w:cs="宋体"/>
          <w:szCs w:val="21"/>
        </w:rPr>
      </w:pPr>
      <w:r>
        <w:rPr>
          <w:rFonts w:hint="eastAsia" w:ascii="宋体" w:hAnsi="宋体" w:eastAsia="宋体" w:cs="宋体"/>
          <w:szCs w:val="21"/>
        </w:rPr>
        <w:t>3、供应商互验密封情况；投标人超过5家的抽取三家投标单位查验投标文件的密封情况。</w:t>
      </w:r>
    </w:p>
    <w:p>
      <w:pPr>
        <w:spacing w:line="480" w:lineRule="exact"/>
        <w:ind w:firstLine="420" w:firstLineChars="200"/>
        <w:rPr>
          <w:rFonts w:ascii="宋体" w:hAnsi="宋体" w:eastAsia="宋体" w:cs="宋体"/>
          <w:szCs w:val="21"/>
        </w:rPr>
      </w:pPr>
      <w:r>
        <w:rPr>
          <w:rFonts w:hint="eastAsia" w:ascii="宋体" w:hAnsi="宋体" w:eastAsia="宋体" w:cs="宋体"/>
          <w:szCs w:val="21"/>
        </w:rPr>
        <w:t>4、唱标</w:t>
      </w:r>
    </w:p>
    <w:p>
      <w:pPr>
        <w:spacing w:line="480" w:lineRule="exact"/>
        <w:ind w:firstLine="422" w:firstLineChars="200"/>
        <w:rPr>
          <w:rFonts w:ascii="宋体" w:hAnsi="宋体" w:eastAsia="宋体" w:cs="宋体"/>
          <w:b/>
          <w:bCs/>
          <w:szCs w:val="21"/>
          <w:lang w:val="zh-CN"/>
        </w:rPr>
      </w:pPr>
      <w:r>
        <w:rPr>
          <w:rFonts w:hint="eastAsia" w:ascii="宋体" w:hAnsi="宋体" w:eastAsia="宋体" w:cs="宋体"/>
          <w:b/>
          <w:bCs/>
          <w:szCs w:val="21"/>
          <w:lang w:val="zh-CN"/>
        </w:rPr>
        <w:t>九、组建询价小组</w:t>
      </w:r>
    </w:p>
    <w:p>
      <w:pPr>
        <w:autoSpaceDE w:val="0"/>
        <w:autoSpaceDN w:val="0"/>
        <w:adjustRightInd w:val="0"/>
        <w:spacing w:before="100" w:after="100" w:line="480" w:lineRule="exact"/>
        <w:ind w:firstLine="420" w:firstLineChars="200"/>
        <w:jc w:val="left"/>
        <w:rPr>
          <w:rFonts w:ascii="宋体" w:hAnsi="宋体" w:eastAsia="宋体" w:cs="宋体"/>
          <w:kern w:val="0"/>
          <w:szCs w:val="21"/>
          <w:lang w:val="zh-CN"/>
        </w:rPr>
      </w:pPr>
      <w:r>
        <w:rPr>
          <w:rFonts w:hint="eastAsia" w:ascii="宋体" w:hAnsi="宋体" w:eastAsia="宋体" w:cs="宋体"/>
          <w:kern w:val="0"/>
          <w:szCs w:val="21"/>
          <w:lang w:val="zh-CN"/>
        </w:rPr>
        <w:t>询价小组由采购人代表和有关技术、经济等方面的专家组成，成员人数应当为3人以上单数。其中，技术、经济等方面的专家不得少于成员总数的2/3。</w:t>
      </w:r>
    </w:p>
    <w:p>
      <w:pPr>
        <w:autoSpaceDE w:val="0"/>
        <w:autoSpaceDN w:val="0"/>
        <w:adjustRightInd w:val="0"/>
        <w:spacing w:before="100" w:after="100" w:line="480" w:lineRule="exact"/>
        <w:ind w:firstLine="420" w:firstLineChars="200"/>
        <w:jc w:val="left"/>
        <w:rPr>
          <w:rFonts w:ascii="宋体" w:hAnsi="宋体" w:eastAsia="宋体" w:cs="宋体"/>
          <w:kern w:val="0"/>
          <w:szCs w:val="21"/>
          <w:lang w:val="zh-CN"/>
        </w:rPr>
      </w:pPr>
      <w:r>
        <w:rPr>
          <w:rFonts w:hint="eastAsia" w:ascii="宋体" w:hAnsi="宋体" w:eastAsia="宋体" w:cs="宋体"/>
          <w:kern w:val="0"/>
          <w:szCs w:val="21"/>
          <w:lang w:val="zh-CN"/>
        </w:rPr>
        <w:t>1、评审工作由采购人或采购代理机构负责组织，具体评审事务由采购人或采购代理机构依法组建的询价小组负责，并独立履行下列职责：</w:t>
      </w:r>
    </w:p>
    <w:p>
      <w:pPr>
        <w:autoSpaceDE w:val="0"/>
        <w:autoSpaceDN w:val="0"/>
        <w:adjustRightInd w:val="0"/>
        <w:spacing w:before="100" w:after="100" w:line="480" w:lineRule="exact"/>
        <w:ind w:firstLine="315" w:firstLineChars="150"/>
        <w:jc w:val="left"/>
        <w:rPr>
          <w:rFonts w:ascii="宋体" w:hAnsi="宋体" w:eastAsia="宋体" w:cs="宋体"/>
          <w:kern w:val="0"/>
          <w:szCs w:val="21"/>
          <w:lang w:val="zh-CN"/>
        </w:rPr>
      </w:pPr>
      <w:r>
        <w:rPr>
          <w:rFonts w:hint="eastAsia" w:ascii="宋体" w:hAnsi="宋体" w:eastAsia="宋体" w:cs="宋体"/>
          <w:kern w:val="0"/>
          <w:szCs w:val="21"/>
          <w:lang w:val="zh-CN"/>
        </w:rPr>
        <w:t>（1）审查询价响应性文件是否符合询价文件要求，并作出评价；</w:t>
      </w:r>
    </w:p>
    <w:p>
      <w:pPr>
        <w:autoSpaceDE w:val="0"/>
        <w:autoSpaceDN w:val="0"/>
        <w:adjustRightInd w:val="0"/>
        <w:spacing w:before="100" w:after="100" w:line="480" w:lineRule="exact"/>
        <w:ind w:firstLine="315" w:firstLineChars="150"/>
        <w:jc w:val="left"/>
        <w:rPr>
          <w:rFonts w:ascii="宋体" w:hAnsi="宋体" w:eastAsia="宋体" w:cs="宋体"/>
          <w:kern w:val="0"/>
          <w:szCs w:val="21"/>
          <w:lang w:val="zh-CN"/>
        </w:rPr>
      </w:pPr>
      <w:r>
        <w:rPr>
          <w:rFonts w:hint="eastAsia" w:ascii="宋体" w:hAnsi="宋体" w:eastAsia="宋体" w:cs="宋体"/>
          <w:kern w:val="0"/>
          <w:szCs w:val="21"/>
          <w:lang w:val="zh-CN"/>
        </w:rPr>
        <w:t>（2）推荐成交候选供应商名单，或者受采购人委托按照事先确定的办法直接确定成交供应商；</w:t>
      </w:r>
    </w:p>
    <w:p>
      <w:pPr>
        <w:autoSpaceDE w:val="0"/>
        <w:autoSpaceDN w:val="0"/>
        <w:adjustRightInd w:val="0"/>
        <w:spacing w:before="100" w:after="100" w:line="480" w:lineRule="exact"/>
        <w:ind w:firstLine="315" w:firstLineChars="150"/>
        <w:jc w:val="left"/>
        <w:rPr>
          <w:rFonts w:ascii="宋体" w:hAnsi="宋体" w:eastAsia="宋体" w:cs="宋体"/>
          <w:kern w:val="0"/>
          <w:szCs w:val="21"/>
          <w:lang w:val="zh-CN"/>
        </w:rPr>
      </w:pPr>
      <w:r>
        <w:rPr>
          <w:rFonts w:hint="eastAsia" w:ascii="宋体" w:hAnsi="宋体" w:eastAsia="宋体" w:cs="宋体"/>
          <w:kern w:val="0"/>
          <w:szCs w:val="21"/>
          <w:lang w:val="zh-CN"/>
        </w:rPr>
        <w:t>（3）向采购单位或者有关部门报告非法干预评审工作的行为。</w:t>
      </w:r>
    </w:p>
    <w:p>
      <w:pPr>
        <w:autoSpaceDE w:val="0"/>
        <w:autoSpaceDN w:val="0"/>
        <w:adjustRightInd w:val="0"/>
        <w:spacing w:before="100" w:after="100" w:line="480" w:lineRule="exact"/>
        <w:ind w:firstLine="420" w:firstLineChars="200"/>
        <w:jc w:val="left"/>
        <w:rPr>
          <w:rFonts w:ascii="宋体" w:hAnsi="宋体" w:eastAsia="宋体" w:cs="宋体"/>
          <w:kern w:val="0"/>
          <w:szCs w:val="21"/>
          <w:lang w:val="zh-CN"/>
        </w:rPr>
      </w:pPr>
      <w:r>
        <w:rPr>
          <w:rFonts w:hint="eastAsia" w:ascii="宋体" w:hAnsi="宋体" w:eastAsia="宋体" w:cs="宋体"/>
          <w:kern w:val="0"/>
          <w:szCs w:val="21"/>
          <w:lang w:val="zh-CN"/>
        </w:rPr>
        <w:t>2、询价小组成员应当履行下列义务：</w:t>
      </w:r>
    </w:p>
    <w:p>
      <w:pPr>
        <w:autoSpaceDE w:val="0"/>
        <w:autoSpaceDN w:val="0"/>
        <w:adjustRightInd w:val="0"/>
        <w:spacing w:before="100" w:after="100" w:line="480" w:lineRule="exact"/>
        <w:ind w:firstLine="420" w:firstLineChars="200"/>
        <w:jc w:val="left"/>
        <w:rPr>
          <w:rFonts w:ascii="宋体" w:hAnsi="宋体" w:eastAsia="宋体" w:cs="宋体"/>
          <w:kern w:val="0"/>
          <w:szCs w:val="21"/>
          <w:lang w:val="zh-CN"/>
        </w:rPr>
      </w:pPr>
      <w:r>
        <w:rPr>
          <w:rFonts w:hint="eastAsia" w:ascii="宋体" w:hAnsi="宋体" w:eastAsia="宋体" w:cs="宋体"/>
          <w:kern w:val="0"/>
          <w:szCs w:val="21"/>
          <w:lang w:val="zh-CN"/>
        </w:rPr>
        <w:t>（1）遵纪守法，客观、公正、廉洁地履行职责；</w:t>
      </w:r>
    </w:p>
    <w:p>
      <w:pPr>
        <w:autoSpaceDE w:val="0"/>
        <w:autoSpaceDN w:val="0"/>
        <w:adjustRightInd w:val="0"/>
        <w:spacing w:before="100" w:after="100" w:line="480" w:lineRule="exact"/>
        <w:ind w:firstLine="420" w:firstLineChars="200"/>
        <w:jc w:val="left"/>
        <w:rPr>
          <w:rFonts w:ascii="宋体" w:hAnsi="宋体" w:eastAsia="宋体" w:cs="宋体"/>
          <w:kern w:val="0"/>
          <w:szCs w:val="21"/>
          <w:lang w:val="zh-CN"/>
        </w:rPr>
      </w:pPr>
      <w:r>
        <w:rPr>
          <w:rFonts w:hint="eastAsia" w:ascii="宋体" w:hAnsi="宋体" w:eastAsia="宋体" w:cs="宋体"/>
          <w:kern w:val="0"/>
          <w:szCs w:val="21"/>
          <w:lang w:val="zh-CN"/>
        </w:rPr>
        <w:t>（2）按照询价文件规定的方法和标准进行评审，对评审意见承担个人责任；</w:t>
      </w:r>
    </w:p>
    <w:p>
      <w:pPr>
        <w:autoSpaceDE w:val="0"/>
        <w:autoSpaceDN w:val="0"/>
        <w:adjustRightInd w:val="0"/>
        <w:spacing w:before="100" w:after="100" w:line="480" w:lineRule="exact"/>
        <w:ind w:firstLine="420" w:firstLineChars="200"/>
        <w:jc w:val="left"/>
        <w:rPr>
          <w:rFonts w:ascii="宋体" w:hAnsi="宋体" w:eastAsia="宋体" w:cs="宋体"/>
          <w:kern w:val="0"/>
          <w:szCs w:val="21"/>
          <w:lang w:val="zh-CN"/>
        </w:rPr>
      </w:pPr>
      <w:r>
        <w:rPr>
          <w:rFonts w:hint="eastAsia" w:ascii="宋体" w:hAnsi="宋体" w:eastAsia="宋体" w:cs="宋体"/>
          <w:kern w:val="0"/>
          <w:szCs w:val="21"/>
          <w:lang w:val="zh-CN"/>
        </w:rPr>
        <w:t>（3）对评审过程和结果，以及供应商的商业秘密保密；</w:t>
      </w:r>
    </w:p>
    <w:p>
      <w:pPr>
        <w:autoSpaceDE w:val="0"/>
        <w:autoSpaceDN w:val="0"/>
        <w:adjustRightInd w:val="0"/>
        <w:spacing w:before="100" w:after="100" w:line="480" w:lineRule="exact"/>
        <w:ind w:firstLine="420" w:firstLineChars="200"/>
        <w:jc w:val="left"/>
        <w:rPr>
          <w:rFonts w:ascii="宋体" w:hAnsi="宋体" w:eastAsia="宋体" w:cs="宋体"/>
          <w:kern w:val="0"/>
          <w:szCs w:val="21"/>
          <w:lang w:val="zh-CN"/>
        </w:rPr>
      </w:pPr>
      <w:r>
        <w:rPr>
          <w:rFonts w:hint="eastAsia" w:ascii="宋体" w:hAnsi="宋体" w:eastAsia="宋体" w:cs="宋体"/>
          <w:kern w:val="0"/>
          <w:szCs w:val="21"/>
          <w:lang w:val="zh-CN"/>
        </w:rPr>
        <w:t>（4）参与评审报告的起草；</w:t>
      </w:r>
    </w:p>
    <w:p>
      <w:pPr>
        <w:autoSpaceDE w:val="0"/>
        <w:autoSpaceDN w:val="0"/>
        <w:adjustRightInd w:val="0"/>
        <w:spacing w:before="100" w:after="100" w:line="480" w:lineRule="exact"/>
        <w:ind w:firstLine="420" w:firstLineChars="200"/>
        <w:jc w:val="left"/>
        <w:rPr>
          <w:rFonts w:ascii="宋体" w:hAnsi="宋体" w:eastAsia="宋体" w:cs="宋体"/>
          <w:kern w:val="0"/>
          <w:szCs w:val="21"/>
          <w:lang w:val="zh-CN"/>
        </w:rPr>
      </w:pPr>
      <w:r>
        <w:rPr>
          <w:rFonts w:hint="eastAsia" w:ascii="宋体" w:hAnsi="宋体" w:eastAsia="宋体" w:cs="宋体"/>
          <w:kern w:val="0"/>
          <w:szCs w:val="21"/>
          <w:lang w:val="zh-CN"/>
        </w:rPr>
        <w:t>（5）配合财政部门的投诉处理工作；</w:t>
      </w:r>
    </w:p>
    <w:p>
      <w:pPr>
        <w:autoSpaceDE w:val="0"/>
        <w:autoSpaceDN w:val="0"/>
        <w:adjustRightInd w:val="0"/>
        <w:spacing w:before="100" w:after="100" w:line="480" w:lineRule="exact"/>
        <w:ind w:firstLine="420" w:firstLineChars="200"/>
        <w:jc w:val="left"/>
        <w:rPr>
          <w:rFonts w:ascii="宋体" w:hAnsi="宋体" w:eastAsia="宋体" w:cs="宋体"/>
          <w:kern w:val="0"/>
          <w:szCs w:val="21"/>
          <w:lang w:val="zh-CN"/>
        </w:rPr>
      </w:pPr>
      <w:r>
        <w:rPr>
          <w:rFonts w:hint="eastAsia" w:ascii="宋体" w:hAnsi="宋体" w:eastAsia="宋体" w:cs="宋体"/>
          <w:kern w:val="0"/>
          <w:szCs w:val="21"/>
          <w:lang w:val="zh-CN"/>
        </w:rPr>
        <w:t>（6）配合采购单位答复参与供应商提出的质疑。</w:t>
      </w:r>
    </w:p>
    <w:p>
      <w:pPr>
        <w:spacing w:line="480" w:lineRule="exact"/>
        <w:ind w:firstLine="422" w:firstLineChars="200"/>
        <w:rPr>
          <w:rFonts w:ascii="宋体" w:hAnsi="宋体" w:eastAsia="宋体" w:cs="宋体"/>
          <w:b/>
          <w:bCs/>
          <w:szCs w:val="21"/>
        </w:rPr>
      </w:pPr>
      <w:r>
        <w:rPr>
          <w:rFonts w:hint="eastAsia" w:ascii="宋体" w:hAnsi="宋体" w:eastAsia="宋体" w:cs="宋体"/>
          <w:b/>
          <w:bCs/>
          <w:szCs w:val="21"/>
        </w:rPr>
        <w:t>十、纪律和监督</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1、对采购人的纪律要求。采购人不得泄漏招标投标活动中应当保密的情况和资料，不得与供应商串通损害国家利益、社会公共利益或者他人合法权益。</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2、对供应商的纪律要求。供应商不得相互串通投标或者与采购人串通投标，不得向采购人或者评标委员会成员行贿谋取中标，不得以他人名义投标或者以其他方式弄虚作假骗取中标；供应商不得以任何方式干扰、影响评标工作。</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3、对询价小组成员的纪律要求。询价小组成员不得收受他人的财物或者其他好处，不得向他人透露对投标文件的评审和比较、成交候选人的推荐情况以及询价有关的其他情况。在评标活动中，询价小组成员不得擅离职守，影响询价程序正常进行。</w:t>
      </w:r>
    </w:p>
    <w:p>
      <w:pPr>
        <w:autoSpaceDE w:val="0"/>
        <w:autoSpaceDN w:val="0"/>
        <w:adjustRightInd w:val="0"/>
        <w:spacing w:line="480" w:lineRule="exact"/>
        <w:ind w:firstLine="422" w:firstLineChars="200"/>
        <w:rPr>
          <w:rFonts w:ascii="宋体" w:hAnsi="宋体" w:eastAsia="宋体" w:cs="宋体"/>
          <w:szCs w:val="21"/>
        </w:rPr>
      </w:pPr>
      <w:r>
        <w:rPr>
          <w:rFonts w:hint="eastAsia" w:ascii="宋体" w:hAnsi="宋体" w:eastAsia="宋体" w:cs="宋体"/>
          <w:b/>
          <w:bCs/>
          <w:szCs w:val="21"/>
        </w:rPr>
        <w:t>十一、评审办法：最低评标价法</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这里的最低评标价法，是指以价格为主要因素确定中标候选供应商的评标方法，即在全部满足招标文件实质性要求前提下，依据统一的价格要素评定最低报价，以提出最低报价的供应商作为中标候选供应商。</w:t>
      </w:r>
    </w:p>
    <w:p>
      <w:pPr>
        <w:autoSpaceDE w:val="0"/>
        <w:autoSpaceDN w:val="0"/>
        <w:adjustRightInd w:val="0"/>
        <w:spacing w:line="480" w:lineRule="exact"/>
        <w:ind w:firstLine="422" w:firstLineChars="200"/>
        <w:rPr>
          <w:rFonts w:ascii="宋体" w:hAnsi="宋体" w:eastAsia="宋体" w:cs="宋体"/>
          <w:b/>
          <w:bCs/>
          <w:szCs w:val="21"/>
        </w:rPr>
      </w:pPr>
      <w:r>
        <w:rPr>
          <w:rFonts w:hint="eastAsia" w:ascii="宋体" w:hAnsi="宋体" w:eastAsia="宋体" w:cs="宋体"/>
          <w:b/>
          <w:bCs/>
          <w:szCs w:val="21"/>
        </w:rPr>
        <w:t>十二、评审：</w:t>
      </w:r>
    </w:p>
    <w:p>
      <w:pPr>
        <w:autoSpaceDE w:val="0"/>
        <w:autoSpaceDN w:val="0"/>
        <w:adjustRightInd w:val="0"/>
        <w:spacing w:line="480" w:lineRule="exact"/>
        <w:ind w:firstLine="420" w:firstLineChars="200"/>
        <w:rPr>
          <w:rFonts w:ascii="宋体" w:hAnsi="宋体" w:eastAsia="宋体" w:cs="宋体"/>
          <w:b/>
          <w:bCs/>
          <w:szCs w:val="21"/>
        </w:rPr>
      </w:pPr>
      <w:r>
        <w:rPr>
          <w:rFonts w:hint="eastAsia" w:ascii="宋体" w:hAnsi="宋体" w:eastAsia="宋体" w:cs="宋体"/>
          <w:szCs w:val="21"/>
        </w:rPr>
        <w:t>被询价的供应商只能一次报出不得更改的价格，并对询价文件所列出的全部商务、技术要求做出响应。询价小组将全部满足询价文件实质性要求的供应商的报价由低到高排列供应商顺序，报价相同的，按技术指标优劣顺序排列。</w:t>
      </w:r>
    </w:p>
    <w:p>
      <w:pPr>
        <w:autoSpaceDE w:val="0"/>
        <w:autoSpaceDN w:val="0"/>
        <w:adjustRightInd w:val="0"/>
        <w:spacing w:line="480" w:lineRule="exact"/>
        <w:ind w:firstLine="422" w:firstLineChars="200"/>
        <w:rPr>
          <w:rFonts w:ascii="宋体" w:hAnsi="宋体" w:eastAsia="宋体" w:cs="宋体"/>
          <w:szCs w:val="21"/>
        </w:rPr>
      </w:pPr>
      <w:r>
        <w:rPr>
          <w:rFonts w:hint="eastAsia" w:ascii="宋体" w:hAnsi="宋体" w:eastAsia="宋体" w:cs="宋体"/>
          <w:b/>
          <w:bCs/>
          <w:szCs w:val="21"/>
        </w:rPr>
        <w:t>十三、在询价过程中有以下情形之一的，按无效投标处理：</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1、询价文件逾期送达的或者未送达指定地点的；</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2、未按询价文件签署、盖章和密封的；</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3、技术参数出现重大负偏离的；</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4、未提交询价文件资料费和保证金的；</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5、资质证件不齐或无效的；</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6、不符合法律、法规和文件中规定的其他实质性要求的。</w:t>
      </w:r>
    </w:p>
    <w:p>
      <w:pPr>
        <w:autoSpaceDE w:val="0"/>
        <w:autoSpaceDN w:val="0"/>
        <w:adjustRightInd w:val="0"/>
        <w:spacing w:line="480" w:lineRule="exact"/>
        <w:ind w:firstLine="422" w:firstLineChars="200"/>
        <w:rPr>
          <w:rFonts w:ascii="宋体" w:hAnsi="宋体" w:eastAsia="宋体" w:cs="宋体"/>
          <w:szCs w:val="21"/>
        </w:rPr>
      </w:pPr>
      <w:r>
        <w:rPr>
          <w:rFonts w:hint="eastAsia" w:ascii="宋体" w:hAnsi="宋体" w:eastAsia="宋体" w:cs="宋体"/>
          <w:b/>
          <w:bCs/>
          <w:szCs w:val="21"/>
        </w:rPr>
        <w:t>十四、确定成交供应商</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询价小组按照询价文件中的评审和方法，对各个响应性询价文件进行评审和比较，独立、客观、公正地填写评审意见，推荐或确定成交供应商。</w:t>
      </w:r>
    </w:p>
    <w:p>
      <w:pPr>
        <w:autoSpaceDE w:val="0"/>
        <w:autoSpaceDN w:val="0"/>
        <w:adjustRightInd w:val="0"/>
        <w:spacing w:line="480" w:lineRule="exact"/>
        <w:ind w:firstLine="422" w:firstLineChars="200"/>
        <w:rPr>
          <w:rFonts w:ascii="宋体" w:hAnsi="宋体" w:eastAsia="宋体" w:cs="宋体"/>
          <w:szCs w:val="21"/>
        </w:rPr>
      </w:pPr>
      <w:r>
        <w:rPr>
          <w:rFonts w:hint="eastAsia" w:ascii="宋体" w:hAnsi="宋体" w:eastAsia="宋体" w:cs="宋体"/>
          <w:b/>
          <w:bCs/>
          <w:szCs w:val="21"/>
        </w:rPr>
        <w:t>十五、采购结果公告</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成交供应商确定后，采购代理机构应将采购结果在原询价公告发布媒体进行公告。</w:t>
      </w:r>
    </w:p>
    <w:p>
      <w:pPr>
        <w:autoSpaceDE w:val="0"/>
        <w:autoSpaceDN w:val="0"/>
        <w:adjustRightInd w:val="0"/>
        <w:spacing w:line="480" w:lineRule="exact"/>
        <w:ind w:firstLine="422" w:firstLineChars="200"/>
        <w:rPr>
          <w:rFonts w:ascii="宋体" w:hAnsi="宋体" w:eastAsia="宋体" w:cs="宋体"/>
          <w:szCs w:val="21"/>
        </w:rPr>
      </w:pPr>
      <w:r>
        <w:rPr>
          <w:rFonts w:hint="eastAsia" w:ascii="宋体" w:hAnsi="宋体" w:eastAsia="宋体" w:cs="宋体"/>
          <w:b/>
          <w:bCs/>
          <w:szCs w:val="21"/>
        </w:rPr>
        <w:t>十六、发放成交通知书</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在发布采购结果公告的同时，采购代理机构应当向成交供应商发出成交通知书。</w:t>
      </w:r>
    </w:p>
    <w:p>
      <w:pPr>
        <w:autoSpaceDE w:val="0"/>
        <w:autoSpaceDN w:val="0"/>
        <w:adjustRightInd w:val="0"/>
        <w:spacing w:line="480" w:lineRule="exact"/>
        <w:ind w:firstLine="422" w:firstLineChars="200"/>
        <w:rPr>
          <w:rFonts w:ascii="宋体" w:hAnsi="宋体" w:eastAsia="宋体" w:cs="宋体"/>
          <w:szCs w:val="21"/>
        </w:rPr>
      </w:pPr>
      <w:r>
        <w:rPr>
          <w:rFonts w:hint="eastAsia" w:ascii="宋体" w:hAnsi="宋体" w:eastAsia="宋体" w:cs="宋体"/>
          <w:b/>
          <w:bCs/>
          <w:szCs w:val="21"/>
        </w:rPr>
        <w:t>十七、合同签订</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1、采购人或者采购代理机构应当自成交通知书发出之日起30日内，按照询价文件和成交供应商递交的询价响应性文件的约定，与成交供应商签订书面合同。所签订的合同不得对询价文件和询价响应性文件作实质性修改。并在合同签订后七个工作日内将合同副本报县财政部门政府采购管理办公室和温县公共资源交易中心备案。</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采购单位不得向成交供应商提出任何不合理的要求，作为签订合同的条件，不得与成交供应商私下订立背离合同实质性内容的协议。</w:t>
      </w:r>
    </w:p>
    <w:p>
      <w:pPr>
        <w:spacing w:line="480" w:lineRule="exact"/>
        <w:ind w:firstLine="420" w:firstLineChars="200"/>
        <w:rPr>
          <w:rFonts w:ascii="宋体" w:hAnsi="宋体" w:eastAsia="宋体" w:cs="宋体"/>
          <w:szCs w:val="21"/>
          <w:lang w:val="zh-CN"/>
        </w:rPr>
      </w:pPr>
      <w:r>
        <w:rPr>
          <w:rFonts w:hint="eastAsia" w:ascii="宋体" w:hAnsi="宋体" w:eastAsia="宋体" w:cs="宋体"/>
          <w:szCs w:val="21"/>
        </w:rPr>
        <w:t>2、</w:t>
      </w:r>
      <w:r>
        <w:rPr>
          <w:rFonts w:hint="eastAsia" w:ascii="宋体" w:hAnsi="宋体" w:eastAsia="宋体" w:cs="宋体"/>
          <w:szCs w:val="21"/>
          <w:lang w:val="zh-CN"/>
        </w:rPr>
        <w:t xml:space="preserve">付款方式：需方在验收合格后，到温县财政局办理本合同价款的支付手续，支付合同价款的 </w:t>
      </w:r>
      <w:r>
        <w:rPr>
          <w:rFonts w:hint="eastAsia" w:ascii="宋体" w:hAnsi="宋体" w:eastAsia="宋体" w:cs="宋体"/>
          <w:szCs w:val="21"/>
        </w:rPr>
        <w:t>100</w:t>
      </w:r>
      <w:r>
        <w:rPr>
          <w:rFonts w:hint="eastAsia" w:ascii="宋体" w:hAnsi="宋体" w:eastAsia="宋体" w:cs="宋体"/>
          <w:szCs w:val="21"/>
          <w:lang w:val="zh-CN"/>
        </w:rPr>
        <w:t xml:space="preserve"> %。本合同单价及总价为不变价，不受市场风险等因素的影响。</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3、争议的解决：双方友好协商；提请主管部门进行调解；由需方所在地人民法院诉讼管辖。</w:t>
      </w:r>
    </w:p>
    <w:p>
      <w:pPr>
        <w:autoSpaceDE w:val="0"/>
        <w:autoSpaceDN w:val="0"/>
        <w:adjustRightInd w:val="0"/>
        <w:spacing w:line="480" w:lineRule="exact"/>
        <w:ind w:firstLine="422" w:firstLineChars="200"/>
        <w:rPr>
          <w:rFonts w:ascii="宋体" w:hAnsi="宋体" w:eastAsia="宋体" w:cs="宋体"/>
          <w:szCs w:val="21"/>
        </w:rPr>
      </w:pPr>
      <w:r>
        <w:rPr>
          <w:rFonts w:hint="eastAsia" w:ascii="宋体" w:hAnsi="宋体" w:eastAsia="宋体" w:cs="宋体"/>
          <w:b/>
          <w:bCs/>
          <w:szCs w:val="21"/>
        </w:rPr>
        <w:t>十八、质疑和投诉</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供应商认为采购文件、采购过程和中标、成交结果使自己的权益受到损害的，可以在知道或者应知其权益受到损害之日起七个工作日内，以书面形式向采购人或采购代理机构提出质疑，否则不予受理。</w:t>
      </w:r>
    </w:p>
    <w:p>
      <w:pPr>
        <w:autoSpaceDE w:val="0"/>
        <w:autoSpaceDN w:val="0"/>
        <w:adjustRightInd w:val="0"/>
        <w:spacing w:line="480" w:lineRule="exact"/>
        <w:ind w:firstLine="422" w:firstLineChars="200"/>
        <w:rPr>
          <w:rFonts w:ascii="宋体" w:hAnsi="宋体" w:eastAsia="宋体" w:cs="宋体"/>
          <w:b/>
          <w:bCs/>
          <w:szCs w:val="21"/>
        </w:rPr>
      </w:pPr>
      <w:r>
        <w:rPr>
          <w:rFonts w:hint="eastAsia" w:ascii="宋体" w:hAnsi="宋体" w:eastAsia="宋体" w:cs="宋体"/>
          <w:b/>
          <w:bCs/>
          <w:szCs w:val="21"/>
        </w:rPr>
        <w:t>十九、投标费用：</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无论投标过程中的作法和结果如何，投标人应自行承担所有参与投标有关的全部费用，采购人和采购代理机构在任何情况下均无义务和责任承担上述费用。</w:t>
      </w:r>
    </w:p>
    <w:p>
      <w:pPr>
        <w:autoSpaceDE w:val="0"/>
        <w:autoSpaceDN w:val="0"/>
        <w:adjustRightInd w:val="0"/>
        <w:spacing w:line="480" w:lineRule="exact"/>
        <w:ind w:firstLine="422" w:firstLineChars="200"/>
        <w:rPr>
          <w:rFonts w:ascii="宋体" w:hAnsi="宋体" w:eastAsia="宋体" w:cs="宋体"/>
          <w:b/>
          <w:bCs/>
          <w:szCs w:val="21"/>
        </w:rPr>
      </w:pPr>
      <w:r>
        <w:rPr>
          <w:rFonts w:hint="eastAsia" w:ascii="宋体" w:hAnsi="宋体" w:eastAsia="宋体" w:cs="宋体"/>
          <w:b/>
          <w:bCs/>
          <w:szCs w:val="21"/>
        </w:rPr>
        <w:t>二十、本次采购项目联系事项</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 xml:space="preserve">1、采 购 人：温县农林局 </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 xml:space="preserve">   联 系 人：王先生 </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 xml:space="preserve">   联系电话：13782780982 </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 xml:space="preserve">2、采购代理机构：河南求实工程造价咨询有限公司 </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 xml:space="preserve">   联 系 人：蔡女士 </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 xml:space="preserve">   联系电话：0391-3653527 </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3、监督单位：温县财政局</w:t>
      </w:r>
    </w:p>
    <w:p>
      <w:pPr>
        <w:autoSpaceDE w:val="0"/>
        <w:autoSpaceDN w:val="0"/>
        <w:adjustRightInd w:val="0"/>
        <w:spacing w:line="480" w:lineRule="exact"/>
        <w:ind w:firstLine="420" w:firstLineChars="200"/>
        <w:rPr>
          <w:rFonts w:ascii="宋体" w:hAnsi="宋体" w:eastAsia="宋体" w:cs="宋体"/>
          <w:szCs w:val="21"/>
        </w:rPr>
      </w:pPr>
      <w:r>
        <w:rPr>
          <w:rFonts w:hint="eastAsia" w:ascii="宋体" w:hAnsi="宋体" w:eastAsia="宋体" w:cs="宋体"/>
          <w:szCs w:val="21"/>
        </w:rPr>
        <w:t xml:space="preserve">   电    话： 0391-6197778</w:t>
      </w:r>
    </w:p>
    <w:p>
      <w:pPr>
        <w:autoSpaceDE w:val="0"/>
        <w:autoSpaceDN w:val="0"/>
        <w:adjustRightInd w:val="0"/>
        <w:spacing w:line="480" w:lineRule="exact"/>
        <w:ind w:firstLine="420" w:firstLineChars="200"/>
        <w:rPr>
          <w:rFonts w:ascii="宋体" w:hAnsi="宋体" w:eastAsia="宋体" w:cs="宋体"/>
          <w:szCs w:val="21"/>
        </w:rPr>
      </w:pPr>
    </w:p>
    <w:p>
      <w:pPr>
        <w:wordWrap w:val="0"/>
        <w:spacing w:line="480" w:lineRule="exact"/>
        <w:ind w:firstLine="525" w:firstLineChars="250"/>
        <w:jc w:val="center"/>
        <w:rPr>
          <w:rFonts w:ascii="宋体" w:hAnsi="宋体" w:eastAsia="宋体" w:cs="宋体"/>
          <w:szCs w:val="21"/>
        </w:rPr>
      </w:pPr>
      <w:r>
        <w:rPr>
          <w:rFonts w:hint="eastAsia" w:ascii="宋体" w:hAnsi="宋体" w:eastAsia="宋体" w:cs="宋体"/>
          <w:szCs w:val="21"/>
        </w:rPr>
        <w:t xml:space="preserve">                                                  2016年</w:t>
      </w:r>
      <w:r>
        <w:rPr>
          <w:rFonts w:hint="eastAsia" w:ascii="宋体" w:hAnsi="宋体" w:cs="宋体"/>
          <w:szCs w:val="21"/>
          <w:lang w:val="en-US" w:eastAsia="zh-CN"/>
        </w:rPr>
        <w:t>8</w:t>
      </w:r>
      <w:r>
        <w:rPr>
          <w:rFonts w:hint="eastAsia" w:ascii="宋体" w:hAnsi="宋体" w:eastAsia="宋体" w:cs="宋体"/>
          <w:szCs w:val="21"/>
        </w:rPr>
        <w:t>月</w:t>
      </w:r>
      <w:r>
        <w:rPr>
          <w:rFonts w:hint="eastAsia" w:ascii="宋体" w:hAnsi="宋体" w:cs="宋体"/>
          <w:szCs w:val="21"/>
          <w:lang w:val="en-US" w:eastAsia="zh-CN"/>
        </w:rPr>
        <w:t>22</w:t>
      </w:r>
      <w:r>
        <w:rPr>
          <w:rFonts w:hint="eastAsia" w:ascii="宋体" w:hAnsi="宋体" w:eastAsia="宋体" w:cs="宋体"/>
          <w:szCs w:val="21"/>
        </w:rPr>
        <w:t>日</w:t>
      </w:r>
    </w:p>
    <w:p>
      <w:pPr>
        <w:rPr>
          <w:rFonts w:ascii="宋体" w:hAnsi="宋体" w:eastAsia="宋体" w:cs="宋体"/>
          <w:sz w:val="24"/>
        </w:rPr>
      </w:pPr>
    </w:p>
    <w:sectPr>
      <w:headerReference r:id="rId4" w:type="first"/>
      <w:footerReference r:id="rId6" w:type="first"/>
      <w:footerReference r:id="rId5" w:type="default"/>
      <w:pgSz w:w="11906" w:h="16838"/>
      <w:pgMar w:top="1440" w:right="1531" w:bottom="1440" w:left="1531" w:header="851" w:footer="992" w:gutter="0"/>
      <w:pgNumType w:start="1"/>
      <w:cols w:space="720" w:num="1"/>
      <w:titlePg/>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altName w:val="黑体"/>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A00002EF" w:usb1="4000207B" w:usb2="00000000" w:usb3="00000000" w:csb0="2000009F" w:csb1="00000000"/>
  </w:font>
  <w:font w:name="楷体_GB2312">
    <w:panose1 w:val="02010609030101010101"/>
    <w:charset w:val="86"/>
    <w:family w:val="auto"/>
    <w:pitch w:val="default"/>
    <w:sig w:usb0="00000001" w:usb1="080E0000" w:usb2="00000000" w:usb3="00000000" w:csb0="00040000" w:csb1="00000000"/>
  </w:font>
  <w:font w:name="Calibri Light">
    <w:altName w:val="Times New Roman"/>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r>
      <w:rPr>
        <w:rFonts w:ascii="Calibri" w:hAnsi="Calibri" w:eastAsia="宋体" w:cs="Times New Roman"/>
        <w:kern w:val="2"/>
        <w:sz w:val="18"/>
        <w:szCs w:val="24"/>
        <w:lang w:val="en-US" w:eastAsia="zh-CN" w:bidi="ar-SA"/>
      </w:rPr>
      <w:pict>
        <v:rect id="文本框 6" o:spid="_x0000_s1025" style="position:absolute;left:0;margin-top:0pt;height:144pt;width:144pt;mso-position-horizontal:center;mso-position-horizontal-relative:margin;mso-wrap-style:none;rotation:0f;z-index:251660288;"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rFonts w:ascii="宋体" w:hAnsi="宋体" w:eastAsia="宋体" w:cs="宋体"/>
                    <w:sz w:val="18"/>
                  </w:rPr>
                </w:pPr>
                <w:r>
                  <w:rPr>
                    <w:rFonts w:hint="eastAsia" w:ascii="宋体" w:hAnsi="宋体" w:eastAsia="宋体" w:cs="宋体"/>
                    <w:sz w:val="18"/>
                  </w:rPr>
                  <w:fldChar w:fldCharType="begin"/>
                </w:r>
                <w:r>
                  <w:rPr>
                    <w:rFonts w:hint="eastAsia" w:ascii="宋体" w:hAnsi="宋体" w:eastAsia="宋体" w:cs="宋体"/>
                    <w:sz w:val="18"/>
                  </w:rPr>
                  <w:instrText xml:space="preserve"> PAGE  \* MERGEFORMAT </w:instrText>
                </w:r>
                <w:r>
                  <w:rPr>
                    <w:rFonts w:hint="eastAsia" w:ascii="宋体" w:hAnsi="宋体" w:eastAsia="宋体" w:cs="宋体"/>
                    <w:sz w:val="18"/>
                  </w:rPr>
                  <w:fldChar w:fldCharType="separate"/>
                </w:r>
                <w:r>
                  <w:rPr>
                    <w:rFonts w:ascii="宋体" w:hAnsi="宋体" w:eastAsia="宋体" w:cs="宋体"/>
                    <w:sz w:val="18"/>
                  </w:rPr>
                  <w:t>4</w:t>
                </w:r>
                <w:r>
                  <w:rPr>
                    <w:rFonts w:hint="eastAsia" w:ascii="宋体" w:hAnsi="宋体" w:eastAsia="宋体" w:cs="宋体"/>
                    <w:sz w:val="18"/>
                  </w:rPr>
                  <w:fldChar w:fldCharType="end"/>
                </w:r>
              </w:p>
            </w:txbxContent>
          </v:textbox>
        </v:rect>
      </w:pict>
    </w:r>
    <w:r>
      <w:rPr>
        <w:rFonts w:ascii="Calibri" w:hAnsi="Calibri" w:eastAsia="宋体" w:cs="Times New Roman"/>
        <w:kern w:val="2"/>
        <w:sz w:val="18"/>
        <w:szCs w:val="24"/>
        <w:lang w:val="en-US" w:eastAsia="zh-CN" w:bidi="ar-SA"/>
      </w:rPr>
      <w:pict>
        <v:rect id="文本框 4" o:spid="_x0000_s1026" style="position:absolute;left:0;margin-top:0pt;height:24.15pt;width:17.5pt;mso-position-horizontal:center;mso-position-horizontal-relative:margin;mso-wrap-style:none;rotation:0f;z-index:251658240;"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txbxContent>
          </v:textbox>
        </v:rect>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r>
      <w:rPr>
        <w:rFonts w:ascii="Calibri" w:hAnsi="Calibri" w:eastAsia="宋体" w:cs="Times New Roman"/>
        <w:kern w:val="2"/>
        <w:sz w:val="18"/>
        <w:szCs w:val="24"/>
        <w:lang w:val="en-US" w:eastAsia="zh-CN" w:bidi="ar-SA"/>
      </w:rPr>
      <w:pict>
        <v:rect id="文本框 5" o:spid="_x0000_s1027" style="position:absolute;left:0;margin-top:0pt;height:144pt;width:144pt;mso-position-horizontal:center;mso-position-horizontal-relative:margin;mso-wrap-style:none;rotation:0f;z-index:251659264;"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rect>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annotation subject"/>
    <w:lsdException w:unhideWhenUsed="0" w:uiPriority="0" w:semiHidden="0" w:name="Balloon Text"/>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jc w:val="center"/>
      <w:outlineLvl w:val="0"/>
    </w:pPr>
    <w:rPr>
      <w:rFonts w:hint="eastAsia" w:ascii="楷体_GB2312" w:hAnsi="宋体" w:eastAsia="楷体_GB2312"/>
      <w:kern w:val="32"/>
      <w:sz w:val="30"/>
    </w:rPr>
  </w:style>
  <w:style w:type="character" w:default="1" w:styleId="7">
    <w:name w:val="Default Paragraph Font"/>
    <w:semiHidden/>
    <w:unhideWhenUsed/>
    <w:uiPriority w:val="1"/>
  </w:style>
  <w:style w:type="paragraph" w:styleId="3">
    <w:name w:val="Balloon Text"/>
    <w:basedOn w:val="1"/>
    <w:link w:val="8"/>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100" w:beforeAutospacing="1" w:after="100" w:afterAutospacing="1"/>
      <w:jc w:val="left"/>
    </w:pPr>
    <w:rPr>
      <w:rFonts w:cs="Times New Roman"/>
      <w:kern w:val="0"/>
      <w:sz w:val="24"/>
    </w:rPr>
  </w:style>
  <w:style w:type="character" w:customStyle="1" w:styleId="8">
    <w:name w:val="批注框文本 Char Char"/>
    <w:basedOn w:val="7"/>
    <w:link w:val="3"/>
    <w:uiPriority w:val="0"/>
    <w:rPr>
      <w:kern w:val="2"/>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theme" Target="theme/theme1.xml"/><Relationship Id="rId8"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textRotate="1"/>
    <customShpInfo spid="_x0000_s1026" textRotate="1"/>
    <customShpInfo spid="_x0000_s102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6</Pages>
  <Words>3711</Words>
  <Characters>678</Characters>
  <Lines>5</Lines>
  <Paragraphs>8</Paragraphs>
  <ScaleCrop>false</ScaleCrop>
  <LinksUpToDate>false</LinksUpToDate>
  <CharactersWithSpaces>0</CharactersWithSpaces>
  <Application>WPS Office 专业版_9.1.0.4337_{F1E327BC-269C-435d-A152-05C5408002CA}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2016-07-28T09:14:00Z</dcterms:created>
  <dc:creator>Administrator</dc:creator>
  <cp:lastModifiedBy>Administrator</cp:lastModifiedBy>
  <cp:lastPrinted>2016-08-19T01:28:00Z</cp:lastPrinted>
  <dcterms:modified xsi:type="dcterms:W3CDTF">2016-08-19T02:35:58Z</dcterms:modified>
  <dc:title>温县农林局2016年区域沼气服务站建设项目询价公告</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2052-9.1.0.4337</vt:lpwstr>
  </property>
</Properties>
</file>