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heme="minorEastAsia" w:hAnsiTheme="minorEastAsia" w:eastAsiaTheme="minorEastAsia" w:cstheme="minorEastAsia"/>
          <w:kern w:val="0"/>
          <w:sz w:val="24"/>
        </w:rPr>
      </w:pPr>
    </w:p>
    <w:p>
      <w:pPr>
        <w:spacing w:line="600" w:lineRule="auto"/>
        <w:jc w:val="center"/>
        <w:rPr>
          <w:rFonts w:hint="eastAsia" w:asciiTheme="minorEastAsia" w:hAnsiTheme="minorEastAsia" w:eastAsiaTheme="minorEastAsia" w:cstheme="minorEastAsia"/>
          <w:b/>
          <w:bCs/>
          <w:sz w:val="52"/>
          <w:szCs w:val="28"/>
          <w:lang w:val="en-US" w:eastAsia="zh-CN"/>
        </w:rPr>
      </w:pPr>
      <w:r>
        <w:rPr>
          <w:rFonts w:hint="eastAsia" w:asciiTheme="minorEastAsia" w:hAnsiTheme="minorEastAsia" w:eastAsiaTheme="minorEastAsia" w:cstheme="minorEastAsia"/>
          <w:b/>
          <w:bCs/>
          <w:sz w:val="52"/>
          <w:szCs w:val="28"/>
          <w:lang w:val="en-US" w:eastAsia="zh-CN"/>
        </w:rPr>
        <w:t>温县中医院整体迁建室内公用区域中医药</w:t>
      </w:r>
    </w:p>
    <w:p>
      <w:pPr>
        <w:spacing w:line="600" w:lineRule="auto"/>
        <w:jc w:val="center"/>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52"/>
          <w:szCs w:val="28"/>
          <w:lang w:val="en-US" w:eastAsia="zh-CN"/>
        </w:rPr>
        <w:t>文化建设项目</w:t>
      </w:r>
    </w:p>
    <w:p>
      <w:pPr>
        <w:spacing w:line="600" w:lineRule="auto"/>
        <w:jc w:val="center"/>
        <w:rPr>
          <w:rFonts w:hint="eastAsia" w:asciiTheme="minorEastAsia" w:hAnsiTheme="minorEastAsia" w:eastAsiaTheme="minorEastAsia" w:cstheme="minorEastAsia"/>
          <w:b/>
          <w:bCs/>
          <w:sz w:val="84"/>
          <w:szCs w:val="84"/>
        </w:rPr>
      </w:pPr>
    </w:p>
    <w:p>
      <w:pPr>
        <w:spacing w:line="60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84"/>
          <w:szCs w:val="84"/>
        </w:rPr>
        <w:t>招 标 文 件</w:t>
      </w:r>
    </w:p>
    <w:p>
      <w:pPr>
        <w:spacing w:line="600" w:lineRule="auto"/>
        <w:jc w:val="center"/>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项目编号：温交易[202</w:t>
      </w:r>
      <w:r>
        <w:rPr>
          <w:rFonts w:hint="eastAsia" w:asciiTheme="minorEastAsia" w:hAnsiTheme="minorEastAsia" w:eastAsia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22</w:t>
      </w:r>
      <w:r>
        <w:rPr>
          <w:rFonts w:hint="eastAsia" w:asciiTheme="minorEastAsia" w:hAnsiTheme="minorEastAsia" w:eastAsiaTheme="minorEastAsia" w:cstheme="minorEastAsia"/>
          <w:b w:val="0"/>
          <w:bCs w:val="0"/>
          <w:color w:val="auto"/>
          <w:sz w:val="28"/>
          <w:szCs w:val="28"/>
        </w:rPr>
        <w:t xml:space="preserve">号  </w:t>
      </w:r>
    </w:p>
    <w:p>
      <w:pPr>
        <w:spacing w:line="600" w:lineRule="auto"/>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val="0"/>
          <w:bCs w:val="0"/>
          <w:color w:val="auto"/>
          <w:sz w:val="28"/>
          <w:szCs w:val="28"/>
        </w:rPr>
        <w:t>采购编号：温政采[202</w:t>
      </w:r>
      <w:r>
        <w:rPr>
          <w:rFonts w:hint="eastAsia" w:asciiTheme="minorEastAsia" w:hAnsiTheme="minorEastAsia" w:eastAsia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26</w:t>
      </w:r>
      <w:r>
        <w:rPr>
          <w:rFonts w:hint="eastAsia" w:asciiTheme="minorEastAsia" w:hAnsiTheme="minorEastAsia" w:eastAsiaTheme="minorEastAsia" w:cstheme="minorEastAsia"/>
          <w:b w:val="0"/>
          <w:bCs w:val="0"/>
          <w:color w:val="auto"/>
          <w:sz w:val="28"/>
          <w:szCs w:val="28"/>
        </w:rPr>
        <w:t xml:space="preserve">号 </w:t>
      </w:r>
    </w:p>
    <w:p>
      <w:pPr>
        <w:spacing w:line="600" w:lineRule="auto"/>
        <w:rPr>
          <w:rFonts w:hint="eastAsia" w:asciiTheme="minorEastAsia" w:hAnsiTheme="minorEastAsia" w:eastAsiaTheme="minorEastAsia" w:cstheme="minorEastAsia"/>
          <w:b/>
          <w:bCs/>
          <w:sz w:val="28"/>
          <w:szCs w:val="28"/>
        </w:rPr>
      </w:pPr>
      <w:r>
        <w:rPr>
          <w:lang w:eastAsia="zh-CN"/>
        </w:rPr>
        <w:drawing>
          <wp:anchor distT="0" distB="0" distL="114300" distR="114300" simplePos="0" relativeHeight="251660288" behindDoc="0" locked="0" layoutInCell="1" allowOverlap="1">
            <wp:simplePos x="0" y="0"/>
            <wp:positionH relativeFrom="column">
              <wp:posOffset>1462405</wp:posOffset>
            </wp:positionH>
            <wp:positionV relativeFrom="paragraph">
              <wp:posOffset>269240</wp:posOffset>
            </wp:positionV>
            <wp:extent cx="3429000" cy="2778125"/>
            <wp:effectExtent l="0" t="0" r="0" b="3175"/>
            <wp:wrapNone/>
            <wp:docPr id="6"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公司标志"/>
                    <pic:cNvPicPr>
                      <a:picLocks noChangeAspect="1"/>
                    </pic:cNvPicPr>
                  </pic:nvPicPr>
                  <pic:blipFill>
                    <a:blip r:embed="rId7"/>
                    <a:stretch>
                      <a:fillRect/>
                    </a:stretch>
                  </pic:blipFill>
                  <pic:spPr>
                    <a:xfrm>
                      <a:off x="0" y="0"/>
                      <a:ext cx="3429000" cy="2778125"/>
                    </a:xfrm>
                    <a:prstGeom prst="rect">
                      <a:avLst/>
                    </a:prstGeom>
                    <a:noFill/>
                    <a:ln>
                      <a:noFill/>
                    </a:ln>
                  </pic:spPr>
                </pic:pic>
              </a:graphicData>
            </a:graphic>
          </wp:anchor>
        </w:drawing>
      </w:r>
    </w:p>
    <w:p>
      <w:pPr>
        <w:spacing w:line="600" w:lineRule="auto"/>
        <w:rPr>
          <w:rFonts w:hint="eastAsia" w:asciiTheme="minorEastAsia" w:hAnsiTheme="minorEastAsia" w:eastAsiaTheme="minorEastAsia" w:cstheme="minorEastAsia"/>
          <w:b/>
          <w:bCs/>
          <w:sz w:val="28"/>
          <w:szCs w:val="28"/>
        </w:rPr>
      </w:pPr>
    </w:p>
    <w:p>
      <w:pPr>
        <w:spacing w:line="600" w:lineRule="auto"/>
        <w:rPr>
          <w:rFonts w:hint="eastAsia" w:asciiTheme="minorEastAsia" w:hAnsiTheme="minorEastAsia" w:eastAsiaTheme="minorEastAsia" w:cstheme="minorEastAsia"/>
          <w:b/>
          <w:bCs/>
          <w:sz w:val="28"/>
          <w:szCs w:val="28"/>
        </w:rPr>
      </w:pPr>
    </w:p>
    <w:p>
      <w:pPr>
        <w:spacing w:line="600" w:lineRule="auto"/>
        <w:jc w:val="center"/>
        <w:rPr>
          <w:rFonts w:hint="eastAsia" w:asciiTheme="minorEastAsia" w:hAnsiTheme="minorEastAsia" w:eastAsiaTheme="minorEastAsia" w:cstheme="minorEastAsia"/>
          <w:b/>
          <w:bCs/>
          <w:sz w:val="28"/>
          <w:szCs w:val="28"/>
        </w:rPr>
      </w:pPr>
    </w:p>
    <w:p>
      <w:pPr>
        <w:spacing w:line="600" w:lineRule="auto"/>
        <w:jc w:val="center"/>
        <w:rPr>
          <w:rFonts w:hint="eastAsia" w:asciiTheme="minorEastAsia" w:hAnsiTheme="minorEastAsia" w:eastAsiaTheme="minorEastAsia" w:cstheme="minorEastAsia"/>
          <w:b/>
          <w:bCs/>
          <w:sz w:val="28"/>
          <w:szCs w:val="28"/>
        </w:rPr>
      </w:pPr>
    </w:p>
    <w:p>
      <w:pPr>
        <w:spacing w:line="600" w:lineRule="auto"/>
        <w:jc w:val="center"/>
        <w:rPr>
          <w:rFonts w:hint="eastAsia" w:asciiTheme="minorEastAsia" w:hAnsiTheme="minorEastAsia" w:eastAsiaTheme="minorEastAsia" w:cstheme="minorEastAsia"/>
          <w:b/>
          <w:bCs/>
          <w:sz w:val="28"/>
          <w:szCs w:val="28"/>
        </w:rPr>
      </w:pPr>
    </w:p>
    <w:p>
      <w:pPr>
        <w:spacing w:line="600" w:lineRule="auto"/>
        <w:jc w:val="center"/>
        <w:rPr>
          <w:rFonts w:hint="eastAsia" w:asciiTheme="minorEastAsia" w:hAnsiTheme="minorEastAsia" w:eastAsiaTheme="minorEastAsia" w:cstheme="minorEastAsia"/>
          <w:b/>
          <w:bCs/>
          <w:sz w:val="28"/>
          <w:szCs w:val="28"/>
        </w:rPr>
      </w:pPr>
    </w:p>
    <w:p>
      <w:pPr>
        <w:spacing w:line="600" w:lineRule="auto"/>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采购单位：</w:t>
      </w:r>
      <w:r>
        <w:rPr>
          <w:rFonts w:hint="eastAsia" w:asciiTheme="minorEastAsia" w:hAnsiTheme="minorEastAsia" w:eastAsiaTheme="minorEastAsia" w:cstheme="minorEastAsia"/>
          <w:b/>
          <w:bCs/>
          <w:sz w:val="32"/>
          <w:szCs w:val="32"/>
          <w:lang w:val="en-US" w:eastAsia="zh-CN"/>
        </w:rPr>
        <w:t>温县中医院</w:t>
      </w:r>
    </w:p>
    <w:p>
      <w:pPr>
        <w:spacing w:line="600" w:lineRule="auto"/>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代理机构：</w:t>
      </w:r>
      <w:r>
        <w:rPr>
          <w:rFonts w:hint="eastAsia" w:asciiTheme="minorEastAsia" w:hAnsiTheme="minorEastAsia" w:eastAsiaTheme="minorEastAsia" w:cstheme="minorEastAsia"/>
          <w:b/>
          <w:bCs/>
          <w:sz w:val="32"/>
          <w:szCs w:val="32"/>
          <w:lang w:eastAsia="zh-CN"/>
        </w:rPr>
        <w:t>郑州民诚建筑工程咨询有限公司</w:t>
      </w:r>
    </w:p>
    <w:p>
      <w:pPr>
        <w:spacing w:line="600" w:lineRule="auto"/>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32"/>
          <w:szCs w:val="32"/>
        </w:rPr>
        <w:t>二〇二</w:t>
      </w:r>
      <w:r>
        <w:rPr>
          <w:rFonts w:hint="eastAsia" w:asciiTheme="minorEastAsia" w:hAnsiTheme="minorEastAsia" w:eastAsiaTheme="minorEastAsia" w:cstheme="minorEastAsia"/>
          <w:b/>
          <w:bCs/>
          <w:sz w:val="32"/>
          <w:szCs w:val="32"/>
          <w:lang w:eastAsia="zh-CN"/>
        </w:rPr>
        <w:t>一</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eastAsia="zh-CN"/>
        </w:rPr>
        <w:t>二</w:t>
      </w:r>
      <w:r>
        <w:rPr>
          <w:rFonts w:hint="eastAsia" w:asciiTheme="minorEastAsia" w:hAnsiTheme="minorEastAsia" w:eastAsiaTheme="minorEastAsia" w:cstheme="minorEastAsia"/>
          <w:b/>
          <w:bCs/>
          <w:sz w:val="32"/>
          <w:szCs w:val="32"/>
        </w:rPr>
        <w:t>月</w:t>
      </w:r>
    </w:p>
    <w:p>
      <w:pPr>
        <w:spacing w:line="6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kern w:val="44"/>
          <w:sz w:val="32"/>
          <w:szCs w:val="32"/>
          <w:lang w:val="zh-CN"/>
        </w:rPr>
        <w:t>目录</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TOC \o "1-3" \h \z \u </w:instrText>
      </w:r>
      <w:r>
        <w:rPr>
          <w:rFonts w:hint="eastAsia" w:asciiTheme="minorEastAsia" w:hAnsiTheme="minorEastAsia" w:eastAsiaTheme="minorEastAsia" w:cstheme="minorEastAsia"/>
        </w:rPr>
        <w:fldChar w:fldCharType="separate"/>
      </w:r>
    </w:p>
    <w:p>
      <w:pPr>
        <w:pStyle w:val="23"/>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44"/>
        </w:rPr>
        <w:t>第一章招标公告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3"/>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44"/>
        </w:rPr>
        <w:t>第二章供应商须知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供应商须知前附表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1.总则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"_Toc15578"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2.招标文件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3.投标文件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4. 投标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"_Toc3543"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4.1 投标文件的密封和标记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5. 开标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6. 资格审查工作</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"_Toc15665"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7. </w:t>
      </w:r>
      <w:r>
        <w:rPr>
          <w:rFonts w:hint="eastAsia" w:asciiTheme="minorEastAsia" w:hAnsiTheme="minorEastAsia" w:eastAsiaTheme="minorEastAsia" w:cstheme="minorEastAsia"/>
          <w:bCs/>
        </w:rPr>
        <w:t>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3"/>
        <w:tabs>
          <w:tab w:val="right" w:leader="dot" w:pos="9740"/>
        </w:tabs>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4"/>
        </w:rPr>
        <w:t>8.合同授予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3"/>
        <w:tabs>
          <w:tab w:val="right" w:leader="dot" w:pos="9740"/>
        </w:tabs>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4"/>
        </w:rPr>
        <w:t>9.</w:t>
      </w:r>
      <w:r>
        <w:rPr>
          <w:rFonts w:hint="eastAsia" w:asciiTheme="minorEastAsia" w:hAnsiTheme="minorEastAsia" w:eastAsiaTheme="minorEastAsia" w:cstheme="minorEastAsia"/>
          <w:bCs/>
          <w:kern w:val="0"/>
          <w:szCs w:val="24"/>
        </w:rPr>
        <w:t>需</w:t>
      </w:r>
      <w:r>
        <w:rPr>
          <w:rFonts w:hint="eastAsia" w:asciiTheme="minorEastAsia" w:hAnsiTheme="minorEastAsia" w:eastAsiaTheme="minorEastAsia" w:cstheme="minorEastAsia"/>
          <w:kern w:val="0"/>
          <w:szCs w:val="24"/>
        </w:rPr>
        <w:t>要</w:t>
      </w:r>
      <w:r>
        <w:rPr>
          <w:rFonts w:hint="eastAsia" w:asciiTheme="minorEastAsia" w:hAnsiTheme="minorEastAsia" w:eastAsiaTheme="minorEastAsia" w:cstheme="minorEastAsia"/>
          <w:bCs/>
          <w:kern w:val="0"/>
          <w:shd w:val="clear" w:color="auto" w:fill="FFFFFF"/>
        </w:rPr>
        <w:t>落实的政府采购政策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3"/>
        <w:tabs>
          <w:tab w:val="right" w:leader="dot" w:pos="9740"/>
        </w:tabs>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rPr>
        <w:t>10.</w:t>
      </w:r>
      <w:r>
        <w:rPr>
          <w:rFonts w:hint="eastAsia" w:asciiTheme="minorEastAsia" w:hAnsiTheme="minorEastAsia" w:eastAsiaTheme="minorEastAsia" w:cstheme="minorEastAsia"/>
          <w:bCs/>
          <w:kern w:val="0"/>
          <w:szCs w:val="24"/>
        </w:rPr>
        <w:t>需</w:t>
      </w:r>
      <w:r>
        <w:rPr>
          <w:rFonts w:hint="eastAsia" w:asciiTheme="minorEastAsia" w:hAnsiTheme="minorEastAsia" w:eastAsiaTheme="minorEastAsia" w:cstheme="minorEastAsia"/>
          <w:kern w:val="0"/>
          <w:szCs w:val="24"/>
        </w:rPr>
        <w:t>要补充的其他内容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3"/>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第三章评标标准和评标方法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"_Toc14327"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二、投标一览表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三、货物清单及报价明细表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"_Toc18276"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四、技术</w:t>
      </w:r>
      <w:r>
        <w:rPr>
          <w:rFonts w:hint="eastAsia" w:asciiTheme="minorEastAsia" w:hAnsiTheme="minorEastAsia" w:eastAsiaTheme="minorEastAsia" w:cstheme="minorEastAsia"/>
          <w:lang w:eastAsia="zh-CN"/>
        </w:rPr>
        <w:t>方案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rPr>
        <w:t>五、</w:t>
      </w:r>
      <w:r>
        <w:rPr>
          <w:rFonts w:hint="eastAsia" w:asciiTheme="minorEastAsia" w:hAnsiTheme="minorEastAsia" w:eastAsiaTheme="minorEastAsia" w:cstheme="minorEastAsia"/>
        </w:rPr>
        <w:t>法定代表人（负责人）身份证明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六、授权委托书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七、供应商基本情况表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"_Toc31274"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九、企业业绩表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十、无行贿犯罪承诺书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十一、反商业贿赂承诺书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十三、节能产品、环境标志产品明细表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pStyle w:val="25"/>
        <w:tabs>
          <w:tab w:val="right" w:leader="dot" w:pos="9740"/>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十四、供应商认为需要提供的其它资料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end"/>
      </w:r>
    </w:p>
    <w:p>
      <w:pPr>
        <w:spacing w:line="60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pStyle w:val="27"/>
        <w:jc w:val="both"/>
        <w:rPr>
          <w:rFonts w:hint="eastAsia" w:asciiTheme="minorEastAsia" w:hAnsiTheme="minorEastAsia" w:eastAsiaTheme="minorEastAsia" w:cstheme="minorEastAsia"/>
          <w:kern w:val="44"/>
        </w:rPr>
      </w:pPr>
    </w:p>
    <w:p>
      <w:pPr>
        <w:rPr>
          <w:rFonts w:hint="eastAsia" w:asciiTheme="minorEastAsia" w:hAnsiTheme="minorEastAsia" w:eastAsiaTheme="minorEastAsia" w:cstheme="minorEastAsia"/>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27"/>
        <w:rPr>
          <w:rFonts w:hint="eastAsia" w:asciiTheme="minorEastAsia" w:hAnsiTheme="minorEastAsia" w:eastAsiaTheme="minorEastAsia" w:cstheme="minorEastAsia"/>
          <w:kern w:val="44"/>
        </w:rPr>
      </w:pPr>
      <w:bookmarkStart w:id="0" w:name="_Toc17637"/>
      <w:bookmarkStart w:id="1" w:name="_Toc17534"/>
      <w:bookmarkStart w:id="2" w:name="_Toc13793"/>
      <w:r>
        <w:rPr>
          <w:rFonts w:hint="eastAsia" w:asciiTheme="minorEastAsia" w:hAnsiTheme="minorEastAsia" w:eastAsiaTheme="minorEastAsia" w:cstheme="minorEastAsia"/>
          <w:kern w:val="44"/>
        </w:rPr>
        <w:t>第一章招标公告</w:t>
      </w:r>
      <w:bookmarkEnd w:id="0"/>
      <w:bookmarkEnd w:id="1"/>
      <w:bookmarkEnd w:id="2"/>
    </w:p>
    <w:p>
      <w:pPr>
        <w:pStyle w:val="3"/>
        <w:numPr>
          <w:ilvl w:val="0"/>
          <w:numId w:val="0"/>
        </w:numPr>
        <w:tabs>
          <w:tab w:val="left" w:pos="0"/>
          <w:tab w:val="left" w:pos="3165"/>
          <w:tab w:val="center" w:pos="4153"/>
        </w:tabs>
        <w:autoSpaceDE w:val="0"/>
        <w:autoSpaceDN w:val="0"/>
        <w:adjustRightInd w:val="0"/>
        <w:spacing w:before="0" w:after="0" w:line="640" w:lineRule="exact"/>
        <w:jc w:val="center"/>
        <w:rPr>
          <w:rFonts w:hint="eastAsia" w:asciiTheme="minorEastAsia" w:hAnsiTheme="minorEastAsia" w:eastAsiaTheme="minorEastAsia" w:cstheme="minorEastAsia"/>
          <w:sz w:val="32"/>
          <w:szCs w:val="32"/>
        </w:rPr>
      </w:pPr>
      <w:bookmarkStart w:id="3" w:name="_Toc28359001"/>
      <w:bookmarkStart w:id="4" w:name="_Toc35393789"/>
      <w:r>
        <w:rPr>
          <w:rFonts w:hint="eastAsia" w:asciiTheme="minorEastAsia" w:hAnsiTheme="minorEastAsia" w:eastAsiaTheme="minorEastAsia" w:cstheme="minorEastAsia"/>
          <w:sz w:val="32"/>
          <w:szCs w:val="32"/>
          <w:lang w:val="en-US" w:eastAsia="zh-CN"/>
        </w:rPr>
        <w:t>温县中医院整体迁建室内公用区域中医药文化建设项目</w:t>
      </w:r>
      <w:r>
        <w:rPr>
          <w:rFonts w:hint="eastAsia" w:asciiTheme="minorEastAsia" w:hAnsiTheme="minorEastAsia" w:eastAsiaTheme="minorEastAsia" w:cstheme="minorEastAsia"/>
          <w:sz w:val="32"/>
          <w:szCs w:val="32"/>
        </w:rPr>
        <w:t>招标公告</w:t>
      </w:r>
      <w:bookmarkEnd w:id="3"/>
      <w:bookmarkEnd w:id="4"/>
    </w:p>
    <w:p>
      <w:pPr>
        <w:rPr>
          <w:rFonts w:hint="eastAsia"/>
        </w:rPr>
      </w:pPr>
    </w:p>
    <w:p>
      <w:pPr>
        <w:pBdr>
          <w:top w:val="single" w:color="auto" w:sz="4" w:space="1"/>
          <w:left w:val="single" w:color="auto" w:sz="4" w:space="4"/>
          <w:bottom w:val="single" w:color="auto" w:sz="4" w:space="1"/>
          <w:right w:val="single" w:color="auto" w:sz="4" w:space="4"/>
        </w:pBdr>
        <w:spacing w:line="640" w:lineRule="exact"/>
        <w:ind w:firstLine="420" w:firstLineChars="20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项目概况</w:t>
      </w:r>
    </w:p>
    <w:p>
      <w:pPr>
        <w:pBdr>
          <w:top w:val="single" w:color="auto" w:sz="4" w:space="1"/>
          <w:left w:val="single" w:color="auto" w:sz="4" w:space="4"/>
          <w:bottom w:val="single" w:color="auto" w:sz="4" w:space="1"/>
          <w:right w:val="single" w:color="auto" w:sz="4" w:space="4"/>
        </w:pBdr>
        <w:spacing w:line="640" w:lineRule="exact"/>
        <w:ind w:firstLine="420" w:firstLineChars="20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lang w:val="en-US" w:eastAsia="zh-CN"/>
        </w:rPr>
        <w:t>温县中医院整体迁建室内公用区域中医药文化建设项目</w:t>
      </w:r>
      <w:r>
        <w:rPr>
          <w:rFonts w:hint="eastAsia" w:asciiTheme="minorEastAsia" w:hAnsiTheme="minorEastAsia" w:eastAsiaTheme="minorEastAsia" w:cstheme="minorEastAsia"/>
          <w:kern w:val="0"/>
        </w:rPr>
        <w:t>的潜在供应商应在</w:t>
      </w:r>
      <w:r>
        <w:rPr>
          <w:rFonts w:hint="eastAsia" w:asciiTheme="minorEastAsia" w:hAnsiTheme="minorEastAsia" w:eastAsiaTheme="minorEastAsia" w:cstheme="minorEastAsia"/>
          <w:kern w:val="0"/>
          <w:u w:val="none"/>
        </w:rPr>
        <w:t>焦作市公共资源交易中心网站会员系统</w:t>
      </w:r>
      <w:r>
        <w:rPr>
          <w:rFonts w:hint="eastAsia" w:asciiTheme="minorEastAsia" w:hAnsiTheme="minorEastAsia" w:eastAsiaTheme="minorEastAsia" w:cstheme="minorEastAsia"/>
          <w:kern w:val="0"/>
        </w:rPr>
        <w:t>获取招标文件，并</w:t>
      </w:r>
      <w:r>
        <w:rPr>
          <w:rFonts w:hint="eastAsia" w:asciiTheme="minorEastAsia" w:hAnsiTheme="minorEastAsia" w:eastAsiaTheme="minorEastAsia" w:cstheme="minorEastAsia"/>
          <w:color w:val="auto"/>
          <w:kern w:val="0"/>
        </w:rPr>
        <w:t>于</w:t>
      </w:r>
      <w:r>
        <w:rPr>
          <w:rFonts w:hint="eastAsia" w:asciiTheme="minorEastAsia" w:hAnsiTheme="minorEastAsia" w:eastAsiaTheme="minorEastAsia" w:cstheme="minorEastAsia"/>
          <w:color w:val="auto"/>
          <w:kern w:val="0"/>
          <w:u w:val="none"/>
        </w:rPr>
        <w:t>202</w:t>
      </w:r>
      <w:r>
        <w:rPr>
          <w:rFonts w:hint="eastAsia" w:asciiTheme="minorEastAsia" w:hAnsiTheme="minorEastAsia" w:eastAsiaTheme="minorEastAsia" w:cstheme="minorEastAsia"/>
          <w:color w:val="auto"/>
          <w:kern w:val="0"/>
          <w:u w:val="none"/>
          <w:lang w:val="en-US" w:eastAsia="zh-CN"/>
        </w:rPr>
        <w:t>1</w:t>
      </w:r>
      <w:r>
        <w:rPr>
          <w:rFonts w:hint="eastAsia" w:asciiTheme="minorEastAsia" w:hAnsiTheme="minorEastAsia" w:eastAsiaTheme="minorEastAsia" w:cstheme="minorEastAsia"/>
          <w:color w:val="auto"/>
          <w:kern w:val="0"/>
          <w:u w:val="none"/>
        </w:rPr>
        <w:t>年</w:t>
      </w:r>
      <w:r>
        <w:rPr>
          <w:rFonts w:hint="eastAsia" w:asciiTheme="minorEastAsia" w:hAnsiTheme="minorEastAsia" w:eastAsiaTheme="minorEastAsia" w:cstheme="minorEastAsia"/>
          <w:color w:val="auto"/>
          <w:kern w:val="0"/>
          <w:u w:val="none"/>
          <w:lang w:val="en-US" w:eastAsia="zh-CN"/>
        </w:rPr>
        <w:t>3</w:t>
      </w:r>
      <w:r>
        <w:rPr>
          <w:rFonts w:hint="eastAsia" w:asciiTheme="minorEastAsia" w:hAnsiTheme="minorEastAsia" w:eastAsiaTheme="minorEastAsia" w:cstheme="minorEastAsia"/>
          <w:color w:val="auto"/>
          <w:kern w:val="0"/>
          <w:u w:val="none"/>
        </w:rPr>
        <w:t>月</w:t>
      </w:r>
      <w:r>
        <w:rPr>
          <w:rFonts w:hint="eastAsia" w:asciiTheme="minorEastAsia" w:hAnsiTheme="minorEastAsia" w:eastAsiaTheme="minorEastAsia" w:cstheme="minorEastAsia"/>
          <w:color w:val="auto"/>
          <w:kern w:val="0"/>
          <w:u w:val="none"/>
          <w:lang w:val="en-US" w:eastAsia="zh-CN"/>
        </w:rPr>
        <w:t>1</w:t>
      </w:r>
      <w:r>
        <w:rPr>
          <w:rFonts w:hint="eastAsia" w:asciiTheme="minorEastAsia" w:hAnsiTheme="minorEastAsia" w:eastAsiaTheme="minorEastAsia" w:cstheme="minorEastAsia"/>
          <w:color w:val="auto"/>
          <w:kern w:val="0"/>
          <w:u w:val="none"/>
        </w:rPr>
        <w:t>日</w:t>
      </w:r>
      <w:r>
        <w:rPr>
          <w:rFonts w:hint="eastAsia" w:asciiTheme="minorEastAsia" w:hAnsiTheme="minorEastAsia" w:eastAsiaTheme="minorEastAsia" w:cstheme="minorEastAsia"/>
          <w:color w:val="auto"/>
          <w:kern w:val="0"/>
          <w:u w:val="none"/>
          <w:lang w:val="en-US" w:eastAsia="zh-CN"/>
        </w:rPr>
        <w:t>9</w:t>
      </w:r>
      <w:r>
        <w:rPr>
          <w:rFonts w:hint="eastAsia" w:asciiTheme="minorEastAsia" w:hAnsiTheme="minorEastAsia" w:eastAsiaTheme="minorEastAsia" w:cstheme="minorEastAsia"/>
          <w:color w:val="auto"/>
          <w:kern w:val="0"/>
          <w:u w:val="none"/>
        </w:rPr>
        <w:t>点</w:t>
      </w:r>
      <w:r>
        <w:rPr>
          <w:rFonts w:hint="eastAsia" w:asciiTheme="minorEastAsia" w:hAnsiTheme="minorEastAsia" w:eastAsiaTheme="minorEastAsia" w:cstheme="minorEastAsia"/>
          <w:color w:val="auto"/>
          <w:kern w:val="0"/>
          <w:u w:val="none"/>
          <w:lang w:val="en-US" w:eastAsia="zh-CN"/>
        </w:rPr>
        <w:t>00</w:t>
      </w:r>
      <w:r>
        <w:rPr>
          <w:rFonts w:hint="eastAsia" w:asciiTheme="minorEastAsia" w:hAnsiTheme="minorEastAsia" w:eastAsiaTheme="minorEastAsia" w:cstheme="minorEastAsia"/>
          <w:color w:val="auto"/>
          <w:kern w:val="0"/>
          <w:u w:val="none"/>
        </w:rPr>
        <w:t>分（</w:t>
      </w:r>
      <w:r>
        <w:rPr>
          <w:rFonts w:hint="eastAsia" w:asciiTheme="minorEastAsia" w:hAnsiTheme="minorEastAsia" w:eastAsiaTheme="minorEastAsia" w:cstheme="minorEastAsia"/>
          <w:kern w:val="0"/>
        </w:rPr>
        <w:t>北京时间）前递交投标文件。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5" w:name="_Toc35393621"/>
      <w:bookmarkStart w:id="6" w:name="_Toc28359002"/>
      <w:bookmarkStart w:id="7" w:name="_Toc35393790"/>
      <w:bookmarkStart w:id="8" w:name="_Toc28359079"/>
      <w:bookmarkStart w:id="9" w:name="_Hlk24379207"/>
      <w:r>
        <w:rPr>
          <w:rFonts w:hint="eastAsia" w:asciiTheme="minorEastAsia" w:hAnsiTheme="minorEastAsia" w:eastAsiaTheme="minorEastAsia" w:cstheme="minorEastAsia"/>
          <w:b/>
          <w:bCs/>
        </w:rPr>
        <w:t>一、项目基本情况</w:t>
      </w:r>
      <w:bookmarkEnd w:id="5"/>
      <w:bookmarkEnd w:id="6"/>
      <w:bookmarkEnd w:id="7"/>
      <w:bookmarkEnd w:id="8"/>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kern w:val="0"/>
        </w:rPr>
      </w:pPr>
      <w:r>
        <w:rPr>
          <w:rFonts w:hint="eastAsia" w:asciiTheme="minorEastAsia" w:hAnsiTheme="minorEastAsia" w:eastAsiaTheme="minorEastAsia" w:cstheme="minorEastAsia"/>
          <w:kern w:val="0"/>
        </w:rPr>
        <w:t>1.项目编号：</w:t>
      </w:r>
      <w:r>
        <w:rPr>
          <w:rFonts w:hint="eastAsia" w:asciiTheme="minorEastAsia" w:hAnsiTheme="minorEastAsia" w:eastAsiaTheme="minorEastAsia" w:cstheme="minorEastAsia"/>
          <w:color w:val="auto"/>
          <w:kern w:val="0"/>
        </w:rPr>
        <w:t>温交易［202</w:t>
      </w:r>
      <w:r>
        <w:rPr>
          <w:rFonts w:hint="eastAsia" w:asciiTheme="minorEastAsia" w:hAnsiTheme="minorEastAsia" w:eastAsiaTheme="minorEastAsia" w:cstheme="minorEastAsia"/>
          <w:color w:val="auto"/>
          <w:kern w:val="0"/>
          <w:lang w:val="en-US" w:eastAsia="zh-CN"/>
        </w:rPr>
        <w:t>1</w:t>
      </w:r>
      <w:r>
        <w:rPr>
          <w:rFonts w:hint="eastAsia" w:asciiTheme="minorEastAsia" w:hAnsiTheme="minorEastAsia" w:eastAsiaTheme="minorEastAsia" w:cstheme="minorEastAsia"/>
          <w:color w:val="auto"/>
          <w:kern w:val="0"/>
        </w:rPr>
        <w:t>］</w:t>
      </w:r>
      <w:r>
        <w:rPr>
          <w:rFonts w:hint="eastAsia" w:asciiTheme="minorEastAsia" w:hAnsiTheme="minorEastAsia" w:eastAsiaTheme="minorEastAsia" w:cstheme="minorEastAsia"/>
          <w:color w:val="auto"/>
          <w:kern w:val="0"/>
          <w:lang w:val="en-US" w:eastAsia="zh-CN"/>
        </w:rPr>
        <w:t>22</w:t>
      </w:r>
      <w:r>
        <w:rPr>
          <w:rFonts w:hint="eastAsia" w:asciiTheme="minorEastAsia" w:hAnsiTheme="minorEastAsia" w:eastAsiaTheme="minorEastAsia" w:cstheme="minorEastAsia"/>
          <w:color w:val="auto"/>
          <w:kern w:val="0"/>
        </w:rPr>
        <w:t>号    </w:t>
      </w:r>
    </w:p>
    <w:p>
      <w:pPr>
        <w:keepNext w:val="0"/>
        <w:keepLines w:val="0"/>
        <w:pageBreakBefore w:val="0"/>
        <w:kinsoku/>
        <w:wordWrap/>
        <w:overflowPunct/>
        <w:topLinePunct w:val="0"/>
        <w:autoSpaceDE/>
        <w:autoSpaceDN/>
        <w:bidi w:val="0"/>
        <w:adjustRightInd/>
        <w:snapToGrid/>
        <w:spacing w:line="500" w:lineRule="exact"/>
        <w:ind w:firstLine="630" w:firstLineChars="300"/>
        <w:textAlignment w:val="auto"/>
        <w:rPr>
          <w:rFonts w:hint="eastAsia"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采购编号：温政采［202</w:t>
      </w:r>
      <w:r>
        <w:rPr>
          <w:rFonts w:hint="eastAsia" w:asciiTheme="minorEastAsia" w:hAnsiTheme="minorEastAsia" w:eastAsiaTheme="minorEastAsia" w:cstheme="minorEastAsia"/>
          <w:color w:val="auto"/>
          <w:kern w:val="0"/>
          <w:lang w:val="en-US" w:eastAsia="zh-CN"/>
        </w:rPr>
        <w:t>1</w:t>
      </w:r>
      <w:r>
        <w:rPr>
          <w:rFonts w:hint="eastAsia" w:asciiTheme="minorEastAsia" w:hAnsiTheme="minorEastAsia" w:eastAsiaTheme="minorEastAsia" w:cstheme="minorEastAsia"/>
          <w:color w:val="auto"/>
          <w:kern w:val="0"/>
        </w:rPr>
        <w:t>］</w:t>
      </w:r>
      <w:r>
        <w:rPr>
          <w:rFonts w:hint="eastAsia" w:asciiTheme="minorEastAsia" w:hAnsiTheme="minorEastAsia" w:eastAsiaTheme="minorEastAsia" w:cstheme="minorEastAsia"/>
          <w:color w:val="auto"/>
          <w:kern w:val="0"/>
          <w:lang w:val="en-US" w:eastAsia="zh-CN"/>
        </w:rPr>
        <w:t>26</w:t>
      </w:r>
      <w:r>
        <w:rPr>
          <w:rFonts w:hint="eastAsia" w:asciiTheme="minorEastAsia" w:hAnsiTheme="minorEastAsia" w:eastAsiaTheme="minorEastAsia" w:cstheme="minorEastAsia"/>
          <w:color w:val="auto"/>
          <w:kern w:val="0"/>
        </w:rPr>
        <w:t>号</w:t>
      </w:r>
    </w:p>
    <w:p>
      <w:pPr>
        <w:keepNext w:val="0"/>
        <w:keepLines w:val="0"/>
        <w:pageBreakBefore w:val="0"/>
        <w:numPr>
          <w:ilvl w:val="0"/>
          <w:numId w:val="4"/>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lang w:val="en-US" w:eastAsia="zh-CN"/>
        </w:rPr>
      </w:pPr>
      <w:r>
        <w:rPr>
          <w:rFonts w:hint="eastAsia" w:asciiTheme="minorEastAsia" w:hAnsiTheme="minorEastAsia" w:eastAsiaTheme="minorEastAsia" w:cstheme="minorEastAsia"/>
          <w:kern w:val="0"/>
        </w:rPr>
        <w:t>项目名称：</w:t>
      </w:r>
      <w:bookmarkEnd w:id="9"/>
      <w:r>
        <w:rPr>
          <w:rFonts w:hint="eastAsia" w:asciiTheme="minorEastAsia" w:hAnsiTheme="minorEastAsia" w:eastAsiaTheme="minorEastAsia" w:cstheme="minorEastAsia"/>
          <w:kern w:val="0"/>
          <w:lang w:val="en-US" w:eastAsia="zh-CN"/>
        </w:rPr>
        <w:t>温县中医院整体迁建室内公用区域中医药文化建设项目</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3.预算金额：</w:t>
      </w:r>
      <w:r>
        <w:rPr>
          <w:rFonts w:hint="eastAsia" w:asciiTheme="minorEastAsia" w:hAnsiTheme="minorEastAsia" w:eastAsiaTheme="minorEastAsia" w:cstheme="minorEastAsia"/>
          <w:kern w:val="0"/>
          <w:lang w:val="en-US" w:eastAsia="zh-CN"/>
        </w:rPr>
        <w:t>400万元</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4.采购需求：</w:t>
      </w:r>
      <w:r>
        <w:rPr>
          <w:rFonts w:hint="eastAsia" w:asciiTheme="minorEastAsia" w:hAnsiTheme="minorEastAsia" w:eastAsiaTheme="minorEastAsia" w:cstheme="minorEastAsia"/>
          <w:kern w:val="0"/>
          <w:lang w:val="en-US" w:eastAsia="zh-CN"/>
        </w:rPr>
        <w:t>1、整体文化主题策划、文案内容梳理、解说词（要求权威准确，各楼层文化主题鲜明，详略得当）；2、文化造型的设计生产制作安装（要求丰富美观，应该包含文字、图片、浮雕、雕塑、古代实物器具等；）；3、所有文化造型所在空间的顶地墙面的装修配合（要求装修风格与文化造型相互和谐美观）。</w:t>
      </w:r>
      <w:r>
        <w:rPr>
          <w:rFonts w:hint="eastAsia" w:asciiTheme="minorEastAsia" w:hAnsiTheme="minorEastAsia" w:eastAsiaTheme="minorEastAsia" w:cstheme="minorEastAsia"/>
          <w:kern w:val="0"/>
        </w:rPr>
        <w:t>(具体参数详见招标文件采购</w:t>
      </w:r>
      <w:r>
        <w:rPr>
          <w:rFonts w:hint="eastAsia" w:asciiTheme="minorEastAsia" w:hAnsiTheme="minorEastAsia" w:eastAsiaTheme="minorEastAsia" w:cstheme="minorEastAsia"/>
          <w:kern w:val="0"/>
          <w:lang w:eastAsia="zh-CN"/>
        </w:rPr>
        <w:t>内容</w:t>
      </w:r>
      <w:r>
        <w:rPr>
          <w:rFonts w:hint="eastAsia" w:asciiTheme="minorEastAsia" w:hAnsiTheme="minorEastAsia" w:eastAsiaTheme="minorEastAsia" w:cstheme="minorEastAsia"/>
          <w:kern w:val="0"/>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5.合同履行期限：</w:t>
      </w:r>
      <w:r>
        <w:rPr>
          <w:rFonts w:hint="eastAsia" w:asciiTheme="minorEastAsia" w:hAnsiTheme="minorEastAsia" w:eastAsiaTheme="minorEastAsia" w:cstheme="minorEastAsia"/>
          <w:kern w:val="0"/>
          <w:lang w:val="en-US" w:eastAsia="zh-CN"/>
        </w:rPr>
        <w:t>120日历天</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lang w:val="en-US" w:eastAsia="zh-CN"/>
        </w:rPr>
        <w:t>6</w:t>
      </w:r>
      <w:r>
        <w:rPr>
          <w:rFonts w:hint="eastAsia" w:asciiTheme="minorEastAsia" w:hAnsiTheme="minorEastAsia" w:eastAsiaTheme="minorEastAsia" w:cstheme="minorEastAsia"/>
          <w:kern w:val="0"/>
        </w:rPr>
        <w:t>.本项目不接受联合体投标。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10" w:name="_Toc28359003"/>
      <w:bookmarkStart w:id="11" w:name="_Toc35393791"/>
      <w:bookmarkStart w:id="12" w:name="_Toc28359080"/>
      <w:bookmarkStart w:id="13" w:name="_Toc35393622"/>
      <w:r>
        <w:rPr>
          <w:rFonts w:hint="eastAsia" w:asciiTheme="minorEastAsia" w:hAnsiTheme="minorEastAsia" w:eastAsiaTheme="minorEastAsia" w:cstheme="minorEastAsia"/>
          <w:b/>
          <w:bCs/>
        </w:rPr>
        <w:t>二、申请人的资格要求：</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1.满足《中华人民共和国政府采购法》第二十二条规定：</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1.1具有独立承担民事责任的能力。</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1.2具有良好的商业信誉和健全的财务会计制度。</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1.3具有履行合同所必需的设备和专业技术能力。</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1.4有依法缴纳税收和社会保障资金的良好记录。</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1.5参加政府采购活动前三年内，在经营活动中没有重大违法记录。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1.6法律、行政法规规定的其他条件。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lang w:eastAsia="zh-CN"/>
        </w:rPr>
      </w:pPr>
      <w:bookmarkStart w:id="14" w:name="_Toc28359081"/>
      <w:bookmarkStart w:id="15" w:name="_Toc28359004"/>
      <w:r>
        <w:rPr>
          <w:rFonts w:hint="eastAsia" w:asciiTheme="minorEastAsia" w:hAnsiTheme="minorEastAsia" w:eastAsiaTheme="minorEastAsia" w:cstheme="minorEastAsia"/>
          <w:kern w:val="0"/>
          <w:szCs w:val="22"/>
          <w:lang w:val="en-US" w:eastAsia="zh-CN"/>
        </w:rPr>
        <w:t>2.落实政府采购政策需满足的资格要求：本项目执行促进</w:t>
      </w:r>
      <w:r>
        <w:rPr>
          <w:rFonts w:hint="eastAsia" w:asciiTheme="minorEastAsia" w:hAnsiTheme="minorEastAsia" w:eastAsiaTheme="minorEastAsia" w:cstheme="minorEastAsia"/>
        </w:rPr>
        <w:t>中小企业发展政策（监狱企业、残疾人福利性企业视同小微企业）</w:t>
      </w:r>
      <w:r>
        <w:rPr>
          <w:rFonts w:hint="eastAsia" w:asciiTheme="minorEastAsia" w:hAnsiTheme="minorEastAsia" w:eastAsiaTheme="minorEastAsia" w:cstheme="minorEastAsia"/>
          <w:kern w:val="0"/>
          <w:lang w:eastAsia="zh-CN"/>
        </w:rPr>
        <w:t>；</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3.本项目的特定资格要求：</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lang w:val="en-US" w:eastAsia="zh-CN"/>
        </w:rPr>
      </w:pPr>
      <w:r>
        <w:rPr>
          <w:rFonts w:hint="eastAsia" w:asciiTheme="minorEastAsia" w:hAnsiTheme="minorEastAsia" w:eastAsiaTheme="minorEastAsia" w:cstheme="minorEastAsia"/>
          <w:kern w:val="0"/>
        </w:rPr>
        <w:t>3.</w:t>
      </w:r>
      <w:r>
        <w:rPr>
          <w:rFonts w:hint="eastAsia" w:asciiTheme="minorEastAsia" w:hAnsiTheme="minorEastAsia" w:eastAsiaTheme="minorEastAsia" w:cstheme="minorEastAsia"/>
          <w:kern w:val="0"/>
          <w:lang w:val="en-US" w:eastAsia="zh-CN"/>
        </w:rPr>
        <w:t>1投标人生产或经营范围应符合本项目要求且具备有效的营业执照（副本）、税务登记证（副本）、组织机构代码证（三证合一单位只需提供营业执照副本）；</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lang w:eastAsia="zh-CN"/>
        </w:rPr>
      </w:pPr>
      <w:r>
        <w:rPr>
          <w:rFonts w:hint="eastAsia" w:asciiTheme="minorEastAsia" w:hAnsiTheme="minorEastAsia" w:eastAsiaTheme="minorEastAsia" w:cstheme="minorEastAsia"/>
          <w:kern w:val="0"/>
          <w:lang w:val="en-US" w:eastAsia="zh-CN"/>
        </w:rPr>
        <w:t>3.2</w:t>
      </w:r>
      <w:r>
        <w:rPr>
          <w:rFonts w:hint="eastAsia" w:asciiTheme="minorEastAsia" w:hAnsiTheme="minorEastAsia" w:eastAsiaTheme="minorEastAsia" w:cstheme="minorEastAsia"/>
          <w:kern w:val="0"/>
        </w:rPr>
        <w:t>根据《关于在政府采购活动中查询及使用信用记录有关问题的通知》(财库[2016]125号)的规定，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供应商需提供网站查询截图，加盖企业公章）</w:t>
      </w:r>
      <w:r>
        <w:rPr>
          <w:rFonts w:hint="eastAsia" w:asciiTheme="minorEastAsia" w:hAnsiTheme="minorEastAsia" w:eastAsiaTheme="minorEastAsia" w:cstheme="minorEastAsia"/>
          <w:kern w:val="0"/>
          <w:lang w:eastAsia="zh-CN"/>
        </w:rPr>
        <w:t>；</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lang w:eastAsia="zh-CN"/>
        </w:rPr>
      </w:pPr>
      <w:r>
        <w:rPr>
          <w:rFonts w:hint="eastAsia" w:asciiTheme="minorEastAsia" w:hAnsiTheme="minorEastAsia" w:eastAsiaTheme="minorEastAsia" w:cstheme="minorEastAsia"/>
          <w:kern w:val="0"/>
        </w:rPr>
        <w:t>3.</w:t>
      </w:r>
      <w:r>
        <w:rPr>
          <w:rFonts w:hint="eastAsia" w:asciiTheme="minorEastAsia" w:hAnsiTheme="minorEastAsia" w:eastAsiaTheme="minorEastAsia" w:cstheme="minorEastAsia"/>
          <w:kern w:val="0"/>
          <w:lang w:val="en-US" w:eastAsia="zh-CN"/>
        </w:rPr>
        <w:t>3</w:t>
      </w:r>
      <w:r>
        <w:rPr>
          <w:rFonts w:hint="eastAsia" w:asciiTheme="minorEastAsia" w:hAnsiTheme="minorEastAsia" w:eastAsiaTheme="minorEastAsia" w:cstheme="minorEastAsia"/>
          <w:kern w:val="0"/>
        </w:rPr>
        <w:t>供应商必须提供无行贿犯罪记录承诺书，(出具由“中国裁判文书网”网站查询近三年来法人、法定代表人、法定代表人委托人无行贿犯罪记录网页截图加盖企业公章证明)；若有行贿犯罪记录则取消其投标资格</w:t>
      </w:r>
      <w:r>
        <w:rPr>
          <w:rFonts w:hint="eastAsia" w:asciiTheme="minorEastAsia" w:hAnsiTheme="minorEastAsia" w:eastAsiaTheme="minorEastAsia" w:cstheme="minorEastAsia"/>
          <w:kern w:val="0"/>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16" w:name="_Toc35393623"/>
      <w:bookmarkStart w:id="17" w:name="_Toc35393792"/>
      <w:r>
        <w:rPr>
          <w:rFonts w:hint="eastAsia" w:asciiTheme="minorEastAsia" w:hAnsiTheme="minorEastAsia" w:eastAsiaTheme="minorEastAsia" w:cstheme="minorEastAsia"/>
          <w:b/>
          <w:bCs/>
        </w:rPr>
        <w:t>三、获取招标文件</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时间：</w:t>
      </w:r>
      <w:r>
        <w:rPr>
          <w:rFonts w:hint="eastAsia" w:asciiTheme="minorEastAsia" w:hAnsiTheme="minorEastAsia" w:eastAsiaTheme="minorEastAsia" w:cstheme="minorEastAsia"/>
          <w:color w:val="auto"/>
          <w:kern w:val="0"/>
          <w:highlight w:val="none"/>
          <w:u w:val="single"/>
        </w:rPr>
        <w:t>202</w:t>
      </w:r>
      <w:r>
        <w:rPr>
          <w:rFonts w:hint="eastAsia" w:asciiTheme="minorEastAsia" w:hAnsiTheme="minorEastAsia" w:eastAsiaTheme="minorEastAsia" w:cstheme="minorEastAsia"/>
          <w:color w:val="auto"/>
          <w:kern w:val="0"/>
          <w:highlight w:val="none"/>
          <w:u w:val="single"/>
          <w:lang w:val="en-US" w:eastAsia="zh-CN"/>
        </w:rPr>
        <w:t>1</w:t>
      </w:r>
      <w:r>
        <w:rPr>
          <w:rFonts w:hint="eastAsia" w:asciiTheme="minorEastAsia" w:hAnsiTheme="minorEastAsia" w:eastAsiaTheme="minorEastAsia" w:cstheme="minorEastAsia"/>
          <w:color w:val="auto"/>
          <w:kern w:val="0"/>
          <w:highlight w:val="none"/>
          <w:u w:val="single"/>
        </w:rPr>
        <w:t>年</w:t>
      </w:r>
      <w:r>
        <w:rPr>
          <w:rFonts w:hint="eastAsia" w:asciiTheme="minorEastAsia" w:hAnsiTheme="minorEastAsia" w:eastAsiaTheme="minorEastAsia" w:cstheme="minorEastAsia"/>
          <w:color w:val="auto"/>
          <w:kern w:val="0"/>
          <w:highlight w:val="none"/>
          <w:u w:val="single"/>
          <w:lang w:val="en-US" w:eastAsia="zh-CN"/>
        </w:rPr>
        <w:t>2</w:t>
      </w:r>
      <w:r>
        <w:rPr>
          <w:rFonts w:hint="eastAsia" w:asciiTheme="minorEastAsia" w:hAnsiTheme="minorEastAsia" w:eastAsiaTheme="minorEastAsia" w:cstheme="minorEastAsia"/>
          <w:color w:val="auto"/>
          <w:kern w:val="0"/>
          <w:highlight w:val="none"/>
          <w:u w:val="single"/>
        </w:rPr>
        <w:t>月</w:t>
      </w:r>
      <w:r>
        <w:rPr>
          <w:rFonts w:hint="eastAsia" w:asciiTheme="minorEastAsia" w:hAnsiTheme="minorEastAsia" w:eastAsiaTheme="minorEastAsia" w:cstheme="minorEastAsia"/>
          <w:color w:val="auto"/>
          <w:kern w:val="0"/>
          <w:highlight w:val="none"/>
          <w:u w:val="single"/>
          <w:lang w:val="en-US" w:eastAsia="zh-CN"/>
        </w:rPr>
        <w:t>8</w:t>
      </w:r>
      <w:r>
        <w:rPr>
          <w:rFonts w:hint="eastAsia" w:asciiTheme="minorEastAsia" w:hAnsiTheme="minorEastAsia" w:eastAsiaTheme="minorEastAsia" w:cstheme="minorEastAsia"/>
          <w:color w:val="auto"/>
          <w:kern w:val="0"/>
          <w:highlight w:val="none"/>
          <w:u w:val="single"/>
        </w:rPr>
        <w:t>日至202</w:t>
      </w:r>
      <w:r>
        <w:rPr>
          <w:rFonts w:hint="eastAsia" w:asciiTheme="minorEastAsia" w:hAnsiTheme="minorEastAsia" w:eastAsiaTheme="minorEastAsia" w:cstheme="minorEastAsia"/>
          <w:color w:val="auto"/>
          <w:kern w:val="0"/>
          <w:highlight w:val="none"/>
          <w:u w:val="single"/>
          <w:lang w:val="en-US" w:eastAsia="zh-CN"/>
        </w:rPr>
        <w:t>1</w:t>
      </w:r>
      <w:r>
        <w:rPr>
          <w:rFonts w:hint="eastAsia" w:asciiTheme="minorEastAsia" w:hAnsiTheme="minorEastAsia" w:eastAsiaTheme="minorEastAsia" w:cstheme="minorEastAsia"/>
          <w:color w:val="auto"/>
          <w:kern w:val="0"/>
          <w:highlight w:val="none"/>
          <w:u w:val="single"/>
        </w:rPr>
        <w:t xml:space="preserve"> 年</w:t>
      </w:r>
      <w:r>
        <w:rPr>
          <w:rFonts w:hint="eastAsia" w:asciiTheme="minorEastAsia" w:hAnsiTheme="minorEastAsia" w:eastAsiaTheme="minorEastAsia" w:cstheme="minorEastAsia"/>
          <w:color w:val="auto"/>
          <w:kern w:val="0"/>
          <w:highlight w:val="none"/>
          <w:u w:val="single"/>
          <w:lang w:val="en-US" w:eastAsia="zh-CN"/>
        </w:rPr>
        <w:t>2</w:t>
      </w:r>
      <w:r>
        <w:rPr>
          <w:rFonts w:hint="eastAsia" w:asciiTheme="minorEastAsia" w:hAnsiTheme="minorEastAsia" w:eastAsiaTheme="minorEastAsia" w:cstheme="minorEastAsia"/>
          <w:color w:val="auto"/>
          <w:kern w:val="0"/>
          <w:highlight w:val="none"/>
          <w:u w:val="single"/>
        </w:rPr>
        <w:t>月</w:t>
      </w:r>
      <w:r>
        <w:rPr>
          <w:rFonts w:hint="eastAsia" w:asciiTheme="minorEastAsia" w:hAnsiTheme="minorEastAsia" w:eastAsiaTheme="minorEastAsia" w:cstheme="minorEastAsia"/>
          <w:color w:val="auto"/>
          <w:kern w:val="0"/>
          <w:highlight w:val="none"/>
          <w:u w:val="single"/>
          <w:lang w:val="en-US" w:eastAsia="zh-CN"/>
        </w:rPr>
        <w:t>19</w:t>
      </w:r>
      <w:r>
        <w:rPr>
          <w:rFonts w:hint="eastAsia" w:asciiTheme="minorEastAsia" w:hAnsiTheme="minorEastAsia" w:eastAsiaTheme="minorEastAsia" w:cstheme="minorEastAsia"/>
          <w:color w:val="auto"/>
          <w:kern w:val="0"/>
          <w:highlight w:val="none"/>
          <w:u w:val="single"/>
        </w:rPr>
        <w:t>日</w:t>
      </w:r>
      <w:r>
        <w:rPr>
          <w:rFonts w:hint="eastAsia" w:asciiTheme="minorEastAsia" w:hAnsiTheme="minorEastAsia" w:eastAsiaTheme="minorEastAsia" w:cstheme="minorEastAsia"/>
          <w:color w:val="FF0000"/>
          <w:kern w:val="0"/>
          <w:highlight w:val="none"/>
        </w:rPr>
        <w:t>，</w:t>
      </w:r>
      <w:r>
        <w:rPr>
          <w:rFonts w:hint="eastAsia" w:asciiTheme="minorEastAsia" w:hAnsiTheme="minorEastAsia" w:eastAsiaTheme="minorEastAsia" w:cstheme="minorEastAsia"/>
          <w:kern w:val="0"/>
          <w:highlight w:val="none"/>
        </w:rPr>
        <w:t>每天上午0</w:t>
      </w:r>
      <w:r>
        <w:rPr>
          <w:rFonts w:hint="eastAsia" w:asciiTheme="minorEastAsia" w:hAnsiTheme="minorEastAsia" w:eastAsiaTheme="minorEastAsia" w:cstheme="minorEastAsia"/>
          <w:kern w:val="0"/>
          <w:highlight w:val="none"/>
          <w:lang w:val="en-US" w:eastAsia="zh-CN"/>
        </w:rPr>
        <w:t>8</w:t>
      </w:r>
      <w:r>
        <w:rPr>
          <w:rFonts w:hint="eastAsia" w:asciiTheme="minorEastAsia" w:hAnsiTheme="minorEastAsia" w:eastAsiaTheme="minorEastAsia" w:cstheme="minorEastAsia"/>
          <w:kern w:val="0"/>
          <w:highlight w:val="none"/>
        </w:rPr>
        <w:t>：00至12:00，下午12:00至23:00</w:t>
      </w:r>
      <w:r>
        <w:rPr>
          <w:rFonts w:hint="eastAsia" w:asciiTheme="minorEastAsia" w:hAnsiTheme="minorEastAsia" w:eastAsiaTheme="minorEastAsia" w:cstheme="minorEastAsia"/>
          <w:kern w:val="0"/>
        </w:rPr>
        <w:t>（北京时间，法定节假日除外）</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lang w:eastAsia="zh-CN"/>
        </w:rPr>
      </w:pPr>
      <w:r>
        <w:rPr>
          <w:rFonts w:hint="eastAsia" w:asciiTheme="minorEastAsia" w:hAnsiTheme="minorEastAsia" w:eastAsiaTheme="minorEastAsia" w:cstheme="minorEastAsia"/>
          <w:kern w:val="0"/>
        </w:rPr>
        <w:t>地点：焦作市公共资源交易中心网站</w:t>
      </w:r>
      <w:r>
        <w:rPr>
          <w:rFonts w:hint="eastAsia" w:asciiTheme="minorEastAsia" w:hAnsiTheme="minorEastAsia" w:eastAsiaTheme="minorEastAsia" w:cstheme="minorEastAsia"/>
          <w:kern w:val="0"/>
          <w:lang w:eastAsia="zh-CN"/>
        </w:rPr>
        <w:t>；</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方式：</w:t>
      </w:r>
      <w:r>
        <w:rPr>
          <w:rFonts w:hint="eastAsia" w:asciiTheme="minorEastAsia" w:hAnsiTheme="minorEastAsia" w:eastAsiaTheme="minorEastAsia" w:cstheme="minorEastAsia"/>
          <w:bCs/>
          <w:shd w:val="clear" w:color="auto" w:fill="FFFFFF"/>
        </w:rPr>
        <w:t>本项目采用网上获取招标文件，凡有意参加投标者，请登陆焦作市公共资源交易中心网站会员系统进行网上下载招标文件</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kern w:val="0"/>
        </w:rPr>
        <w:t>售价：</w:t>
      </w:r>
      <w:r>
        <w:rPr>
          <w:rFonts w:hint="eastAsia" w:asciiTheme="minorEastAsia" w:hAnsiTheme="minorEastAsia" w:eastAsiaTheme="minorEastAsia" w:cstheme="minorEastAsia"/>
          <w:shd w:val="clear" w:color="auto" w:fill="FFFFFF"/>
        </w:rPr>
        <w:t>招标文件300元/份，开标现场支付，售后不退</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特别提醒：获取招标文件前请到焦作市公共资源交易中心官网首页---下载中心--下载《焦作市电子招投标系统操作手册》按要求下载招标文件。平台统一技术服务电话为：400-998-0000，服务QQ：4008503300，服务时间：周一至周日8：00-17：30。凡未在规定时间内获取招标文件的视为无效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18" w:name="_Toc28359005"/>
      <w:bookmarkStart w:id="19" w:name="_Toc28359082"/>
      <w:bookmarkStart w:id="20" w:name="_Toc35393793"/>
      <w:bookmarkStart w:id="21" w:name="_Toc35393624"/>
      <w:r>
        <w:rPr>
          <w:rFonts w:hint="eastAsia" w:asciiTheme="minorEastAsia" w:hAnsiTheme="minorEastAsia" w:eastAsiaTheme="minorEastAsia" w:cstheme="minorEastAsia"/>
          <w:b/>
          <w:bCs/>
        </w:rPr>
        <w:t>四、提交投标文件</w:t>
      </w:r>
      <w:bookmarkEnd w:id="18"/>
      <w:bookmarkEnd w:id="19"/>
      <w:r>
        <w:rPr>
          <w:rFonts w:hint="eastAsia" w:asciiTheme="minorEastAsia" w:hAnsiTheme="minorEastAsia" w:eastAsiaTheme="minorEastAsia" w:cstheme="minorEastAsia"/>
          <w:b/>
          <w:bCs/>
        </w:rPr>
        <w:t>截止时间、开标时间和地点</w:t>
      </w:r>
      <w:bookmarkEnd w:id="20"/>
      <w:bookmarkEnd w:id="21"/>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时间：</w:t>
      </w:r>
      <w:r>
        <w:rPr>
          <w:rFonts w:hint="eastAsia" w:asciiTheme="minorEastAsia" w:hAnsiTheme="minorEastAsia" w:eastAsiaTheme="minorEastAsia" w:cstheme="minorEastAsia"/>
          <w:color w:val="auto"/>
          <w:kern w:val="0"/>
          <w:u w:val="single"/>
        </w:rPr>
        <w:t>202</w:t>
      </w:r>
      <w:r>
        <w:rPr>
          <w:rFonts w:hint="eastAsia" w:asciiTheme="minorEastAsia" w:hAnsiTheme="minorEastAsia" w:eastAsiaTheme="minorEastAsia" w:cstheme="minorEastAsia"/>
          <w:color w:val="auto"/>
          <w:kern w:val="0"/>
          <w:u w:val="single"/>
          <w:lang w:val="en-US" w:eastAsia="zh-CN"/>
        </w:rPr>
        <w:t>1</w:t>
      </w:r>
      <w:r>
        <w:rPr>
          <w:rFonts w:hint="eastAsia" w:asciiTheme="minorEastAsia" w:hAnsiTheme="minorEastAsia" w:eastAsiaTheme="minorEastAsia" w:cstheme="minorEastAsia"/>
          <w:color w:val="auto"/>
          <w:kern w:val="0"/>
          <w:u w:val="single"/>
        </w:rPr>
        <w:t xml:space="preserve"> 年</w:t>
      </w:r>
      <w:r>
        <w:rPr>
          <w:rFonts w:hint="eastAsia" w:asciiTheme="minorEastAsia" w:hAnsiTheme="minorEastAsia" w:eastAsiaTheme="minorEastAsia" w:cstheme="minorEastAsia"/>
          <w:color w:val="auto"/>
          <w:kern w:val="0"/>
          <w:u w:val="single"/>
          <w:lang w:val="en-US" w:eastAsia="zh-CN"/>
        </w:rPr>
        <w:t>3</w:t>
      </w:r>
      <w:r>
        <w:rPr>
          <w:rFonts w:hint="eastAsia" w:asciiTheme="minorEastAsia" w:hAnsiTheme="minorEastAsia" w:eastAsiaTheme="minorEastAsia" w:cstheme="minorEastAsia"/>
          <w:color w:val="auto"/>
          <w:kern w:val="0"/>
          <w:u w:val="single"/>
        </w:rPr>
        <w:t>月</w:t>
      </w:r>
      <w:r>
        <w:rPr>
          <w:rFonts w:hint="eastAsia" w:asciiTheme="minorEastAsia" w:hAnsiTheme="minorEastAsia" w:eastAsiaTheme="minorEastAsia" w:cstheme="minorEastAsia"/>
          <w:color w:val="auto"/>
          <w:kern w:val="0"/>
          <w:u w:val="single"/>
          <w:lang w:val="en-US" w:eastAsia="zh-CN"/>
        </w:rPr>
        <w:t>1</w:t>
      </w:r>
      <w:r>
        <w:rPr>
          <w:rFonts w:hint="eastAsia" w:asciiTheme="minorEastAsia" w:hAnsiTheme="minorEastAsia" w:eastAsiaTheme="minorEastAsia" w:cstheme="minorEastAsia"/>
          <w:color w:val="auto"/>
          <w:kern w:val="0"/>
          <w:u w:val="single"/>
        </w:rPr>
        <w:t>日</w:t>
      </w:r>
      <w:r>
        <w:rPr>
          <w:rFonts w:hint="eastAsia" w:asciiTheme="minorEastAsia" w:hAnsiTheme="minorEastAsia" w:eastAsiaTheme="minorEastAsia" w:cstheme="minorEastAsia"/>
          <w:color w:val="auto"/>
          <w:kern w:val="0"/>
          <w:u w:val="single"/>
          <w:lang w:val="en-US" w:eastAsia="zh-CN"/>
        </w:rPr>
        <w:t xml:space="preserve"> 9</w:t>
      </w:r>
      <w:r>
        <w:rPr>
          <w:rFonts w:hint="eastAsia" w:asciiTheme="minorEastAsia" w:hAnsiTheme="minorEastAsia" w:eastAsiaTheme="minorEastAsia" w:cstheme="minorEastAsia"/>
          <w:color w:val="auto"/>
          <w:kern w:val="0"/>
          <w:u w:val="single"/>
        </w:rPr>
        <w:t>点</w:t>
      </w:r>
      <w:r>
        <w:rPr>
          <w:rFonts w:hint="eastAsia" w:asciiTheme="minorEastAsia" w:hAnsiTheme="minorEastAsia" w:eastAsiaTheme="minorEastAsia" w:cstheme="minorEastAsia"/>
          <w:color w:val="auto"/>
          <w:kern w:val="0"/>
          <w:u w:val="single"/>
          <w:lang w:val="en-US" w:eastAsia="zh-CN"/>
        </w:rPr>
        <w:t>00</w:t>
      </w:r>
      <w:r>
        <w:rPr>
          <w:rFonts w:hint="eastAsia" w:asciiTheme="minorEastAsia" w:hAnsiTheme="minorEastAsia" w:eastAsiaTheme="minorEastAsia" w:cstheme="minorEastAsia"/>
          <w:color w:val="auto"/>
          <w:kern w:val="0"/>
          <w:u w:val="single"/>
        </w:rPr>
        <w:t>分</w:t>
      </w:r>
      <w:r>
        <w:rPr>
          <w:rFonts w:hint="eastAsia" w:asciiTheme="minorEastAsia" w:hAnsiTheme="minorEastAsia" w:eastAsiaTheme="minorEastAsia" w:cstheme="minorEastAsia"/>
          <w:kern w:val="0"/>
        </w:rPr>
        <w:t>（北京时间）</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地点：</w:t>
      </w:r>
      <w:r>
        <w:rPr>
          <w:rFonts w:hint="eastAsia" w:asciiTheme="minorEastAsia" w:hAnsiTheme="minorEastAsia" w:eastAsiaTheme="minorEastAsia" w:cstheme="minorEastAsia"/>
        </w:rPr>
        <w:t>温县公共资源交易中心开标厅（具体详见开标当日公示牌）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0"/>
        </w:rPr>
      </w:pPr>
      <w:bookmarkStart w:id="22" w:name="_Toc28359084"/>
      <w:bookmarkStart w:id="23" w:name="_Toc28359007"/>
      <w:bookmarkStart w:id="24" w:name="_Toc35393794"/>
      <w:bookmarkStart w:id="25" w:name="_Toc35393625"/>
      <w:r>
        <w:rPr>
          <w:rFonts w:hint="eastAsia" w:asciiTheme="minorEastAsia" w:hAnsiTheme="minorEastAsia" w:eastAsiaTheme="minorEastAsia" w:cstheme="minorEastAsia"/>
          <w:b/>
          <w:bCs/>
        </w:rPr>
        <w:t>五、公告期限</w:t>
      </w:r>
      <w:bookmarkEnd w:id="22"/>
      <w:bookmarkEnd w:id="23"/>
      <w:bookmarkEnd w:id="24"/>
      <w:bookmarkEnd w:id="25"/>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kern w:val="0"/>
        </w:rPr>
        <w:t>自本公告发布之日起5个工作日。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26" w:name="_Toc35393626"/>
      <w:bookmarkStart w:id="27" w:name="_Toc35393795"/>
      <w:r>
        <w:rPr>
          <w:rFonts w:hint="eastAsia" w:asciiTheme="minorEastAsia" w:hAnsiTheme="minorEastAsia" w:eastAsiaTheme="minorEastAsia" w:cstheme="minorEastAsia"/>
          <w:b/>
          <w:bCs/>
        </w:rPr>
        <w:t>六、其他补充事宜</w:t>
      </w:r>
      <w:bookmarkEnd w:id="26"/>
      <w:bookmarkEnd w:id="27"/>
      <w:r>
        <w:rPr>
          <w:rFonts w:hint="eastAsia" w:asciiTheme="minorEastAsia" w:hAnsiTheme="minorEastAsia" w:eastAsiaTheme="minorEastAsia" w:cstheme="minorEastAsia"/>
          <w:b/>
          <w:bCs/>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6.1为全力做好疫情防控工作，最大限度减少人员聚集，请各供应商做好个人防护措施，每个投标单位只允许法定代表人或其委托代理人一人参加</w:t>
      </w:r>
      <w:r>
        <w:rPr>
          <w:rFonts w:hint="eastAsia" w:asciiTheme="minorEastAsia" w:hAnsiTheme="minorEastAsia" w:eastAsiaTheme="minorEastAsia" w:cstheme="minorEastAsia"/>
          <w:bCs/>
          <w:lang w:eastAsia="zh-CN"/>
        </w:rPr>
        <w:t>开标</w:t>
      </w:r>
      <w:r>
        <w:rPr>
          <w:rFonts w:hint="eastAsia" w:asciiTheme="minorEastAsia" w:hAnsiTheme="minorEastAsia" w:eastAsiaTheme="minorEastAsia" w:cstheme="minorEastAsia"/>
          <w:bCs/>
        </w:rPr>
        <w:t>会议（带身份证原件）。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6.2会议开始前请各供应商及相关人员配合工作人员做好信息登记、消毒、体温检测以及现场填写健康承诺书等工作。</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6.3为确保投标文件递交时间充分，请各供应商提前到达开标现场。</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6.4本次招标公告同时在《河南省政府采购网》、《焦作市公共资源交易中心网》</w:t>
      </w:r>
      <w:r>
        <w:rPr>
          <w:rFonts w:hint="eastAsia" w:asciiTheme="minorEastAsia" w:hAnsiTheme="minorEastAsia" w:eastAsiaTheme="minorEastAsia" w:cstheme="minorEastAsia"/>
          <w:bCs/>
          <w:lang w:eastAsia="zh-CN"/>
        </w:rPr>
        <w:t>、</w:t>
      </w:r>
      <w:r>
        <w:rPr>
          <w:rFonts w:hint="eastAsia" w:asciiTheme="minorEastAsia" w:hAnsiTheme="minorEastAsia" w:eastAsiaTheme="minorEastAsia" w:cstheme="minorEastAsia"/>
          <w:bCs/>
        </w:rPr>
        <w:t>《温县公共资源交易中心网》上发布。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rPr>
      </w:pPr>
      <w:bookmarkStart w:id="28" w:name="_Toc35393627"/>
      <w:bookmarkStart w:id="29" w:name="_Toc28359085"/>
      <w:bookmarkStart w:id="30" w:name="_Toc35393796"/>
      <w:bookmarkStart w:id="31" w:name="_Toc28359008"/>
      <w:r>
        <w:rPr>
          <w:rFonts w:hint="eastAsia" w:asciiTheme="minorEastAsia" w:hAnsiTheme="minorEastAsia" w:eastAsiaTheme="minorEastAsia" w:cstheme="minorEastAsia"/>
          <w:b/>
          <w:bCs/>
        </w:rPr>
        <w:t>七、对本次招标提出询问，请按以下方式联系。</w:t>
      </w:r>
      <w:bookmarkEnd w:id="28"/>
      <w:bookmarkEnd w:id="29"/>
      <w:bookmarkEnd w:id="30"/>
      <w:bookmarkEnd w:id="31"/>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　　　1.采购人信息</w:t>
      </w:r>
    </w:p>
    <w:p>
      <w:pPr>
        <w:keepNext w:val="0"/>
        <w:keepLines w:val="0"/>
        <w:pageBreakBefore w:val="0"/>
        <w:kinsoku/>
        <w:wordWrap/>
        <w:overflowPunct/>
        <w:topLinePunct w:val="0"/>
        <w:autoSpaceDE/>
        <w:autoSpaceDN/>
        <w:bidi w:val="0"/>
        <w:adjustRightInd/>
        <w:snapToGrid/>
        <w:spacing w:line="500" w:lineRule="exact"/>
        <w:ind w:left="1041" w:leftChars="371" w:hanging="262" w:hangingChars="125"/>
        <w:jc w:val="left"/>
        <w:textAlignment w:val="auto"/>
        <w:rPr>
          <w:rFonts w:hint="eastAsia" w:asciiTheme="minorEastAsia" w:hAnsiTheme="minorEastAsia" w:eastAsiaTheme="minorEastAsia" w:cstheme="minorEastAsia"/>
          <w:kern w:val="0"/>
          <w:lang w:eastAsia="zh-CN"/>
        </w:rPr>
      </w:pPr>
      <w:r>
        <w:rPr>
          <w:rFonts w:hint="eastAsia" w:asciiTheme="minorEastAsia" w:hAnsiTheme="minorEastAsia" w:eastAsiaTheme="minorEastAsia" w:cstheme="minorEastAsia"/>
          <w:kern w:val="0"/>
        </w:rPr>
        <w:t>名 称：温县</w:t>
      </w:r>
      <w:r>
        <w:rPr>
          <w:rFonts w:hint="eastAsia" w:asciiTheme="minorEastAsia" w:hAnsiTheme="minorEastAsia" w:eastAsiaTheme="minorEastAsia" w:cstheme="minorEastAsia"/>
          <w:kern w:val="0"/>
          <w:lang w:eastAsia="zh-CN"/>
        </w:rPr>
        <w:t>中医院</w:t>
      </w:r>
    </w:p>
    <w:p>
      <w:pPr>
        <w:keepNext w:val="0"/>
        <w:keepLines w:val="0"/>
        <w:pageBreakBefore w:val="0"/>
        <w:kinsoku/>
        <w:wordWrap/>
        <w:overflowPunct/>
        <w:topLinePunct w:val="0"/>
        <w:autoSpaceDE/>
        <w:autoSpaceDN/>
        <w:bidi w:val="0"/>
        <w:adjustRightInd/>
        <w:snapToGrid/>
        <w:spacing w:line="500" w:lineRule="exact"/>
        <w:ind w:left="1041" w:leftChars="371" w:hanging="262" w:hangingChars="125"/>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地址：温县</w:t>
      </w:r>
    </w:p>
    <w:p>
      <w:pPr>
        <w:keepNext w:val="0"/>
        <w:keepLines w:val="0"/>
        <w:pageBreakBefore w:val="0"/>
        <w:kinsoku/>
        <w:wordWrap/>
        <w:overflowPunct/>
        <w:topLinePunct w:val="0"/>
        <w:autoSpaceDE/>
        <w:autoSpaceDN/>
        <w:bidi w:val="0"/>
        <w:adjustRightInd/>
        <w:snapToGrid/>
        <w:spacing w:line="500" w:lineRule="exact"/>
        <w:ind w:left="1041" w:leftChars="371" w:hanging="262" w:hangingChars="125"/>
        <w:jc w:val="left"/>
        <w:textAlignment w:val="auto"/>
        <w:rPr>
          <w:rFonts w:hint="default" w:asciiTheme="minorEastAsia" w:hAnsiTheme="minorEastAsia" w:eastAsiaTheme="minorEastAsia" w:cstheme="minorEastAsia"/>
          <w:color w:val="auto"/>
          <w:kern w:val="0"/>
          <w:lang w:val="en-US" w:eastAsia="zh-CN"/>
        </w:rPr>
      </w:pPr>
      <w:r>
        <w:rPr>
          <w:rFonts w:hint="eastAsia" w:asciiTheme="minorEastAsia" w:hAnsiTheme="minorEastAsia" w:eastAsiaTheme="minorEastAsia" w:cstheme="minorEastAsia"/>
          <w:color w:val="auto"/>
          <w:kern w:val="0"/>
        </w:rPr>
        <w:t>联系方式：</w:t>
      </w:r>
      <w:bookmarkStart w:id="32" w:name="_Toc28359086"/>
      <w:bookmarkStart w:id="33" w:name="_Toc28359009"/>
      <w:r>
        <w:rPr>
          <w:rFonts w:hint="eastAsia" w:asciiTheme="minorEastAsia" w:hAnsiTheme="minorEastAsia" w:eastAsiaTheme="minorEastAsia" w:cstheme="minorEastAsia"/>
          <w:color w:val="auto"/>
          <w:kern w:val="0"/>
          <w:lang w:val="en-US" w:eastAsia="zh-CN"/>
        </w:rPr>
        <w:t>15039134646</w:t>
      </w:r>
    </w:p>
    <w:p>
      <w:pPr>
        <w:keepNext w:val="0"/>
        <w:keepLines w:val="0"/>
        <w:pageBreakBefore w:val="0"/>
        <w:kinsoku/>
        <w:wordWrap/>
        <w:overflowPunct/>
        <w:topLinePunct w:val="0"/>
        <w:autoSpaceDE/>
        <w:autoSpaceDN/>
        <w:bidi w:val="0"/>
        <w:adjustRightInd/>
        <w:snapToGrid/>
        <w:spacing w:line="500" w:lineRule="exact"/>
        <w:ind w:firstLine="630" w:firstLineChars="300"/>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2.采购代理机构信息</w:t>
      </w:r>
      <w:bookmarkEnd w:id="32"/>
      <w:bookmarkEnd w:id="33"/>
    </w:p>
    <w:p>
      <w:pPr>
        <w:pStyle w:val="2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840" w:firstLineChars="4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名 称：</w:t>
      </w:r>
      <w:r>
        <w:rPr>
          <w:rFonts w:hint="eastAsia" w:asciiTheme="minorEastAsia" w:hAnsiTheme="minorEastAsia" w:eastAsiaTheme="minorEastAsia" w:cstheme="minorEastAsia"/>
          <w:sz w:val="21"/>
          <w:szCs w:val="21"/>
          <w:lang w:eastAsia="zh-CN"/>
        </w:rPr>
        <w:t>郑州民诚建筑工程咨询有限公司</w:t>
      </w:r>
    </w:p>
    <w:p>
      <w:pPr>
        <w:keepNext w:val="0"/>
        <w:keepLines w:val="0"/>
        <w:pageBreakBefore w:val="0"/>
        <w:kinsoku/>
        <w:wordWrap/>
        <w:overflowPunct/>
        <w:topLinePunct w:val="0"/>
        <w:autoSpaceDE/>
        <w:autoSpaceDN/>
        <w:bidi w:val="0"/>
        <w:adjustRightInd/>
        <w:snapToGrid/>
        <w:spacing w:line="500" w:lineRule="exact"/>
        <w:ind w:firstLine="840" w:firstLineChars="4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kern w:val="0"/>
        </w:rPr>
        <w:t>地　址：</w:t>
      </w:r>
      <w:r>
        <w:rPr>
          <w:rFonts w:hint="eastAsia" w:asciiTheme="minorEastAsia" w:hAnsiTheme="minorEastAsia" w:eastAsiaTheme="minorEastAsia" w:cstheme="minorEastAsia"/>
        </w:rPr>
        <w:t>焦作市</w:t>
      </w:r>
      <w:r>
        <w:rPr>
          <w:rFonts w:hint="eastAsia" w:asciiTheme="minorEastAsia" w:hAnsiTheme="minorEastAsia" w:eastAsiaTheme="minorEastAsia" w:cstheme="minorEastAsia"/>
          <w:lang w:eastAsia="zh-CN"/>
        </w:rPr>
        <w:t>人民路与焦东路交叉口林源大厦</w:t>
      </w:r>
    </w:p>
    <w:p>
      <w:pPr>
        <w:keepNext w:val="0"/>
        <w:keepLines w:val="0"/>
        <w:pageBreakBefore w:val="0"/>
        <w:kinsoku/>
        <w:wordWrap/>
        <w:overflowPunct/>
        <w:topLinePunct w:val="0"/>
        <w:autoSpaceDE/>
        <w:autoSpaceDN/>
        <w:bidi w:val="0"/>
        <w:adjustRightInd/>
        <w:snapToGrid/>
        <w:spacing w:line="500" w:lineRule="exact"/>
        <w:ind w:firstLine="840" w:firstLineChars="400"/>
        <w:textAlignment w:val="auto"/>
        <w:rPr>
          <w:rFonts w:hint="default" w:asciiTheme="minorEastAsia" w:hAnsiTheme="minorEastAsia" w:eastAsiaTheme="minorEastAsia" w:cstheme="minorEastAsia"/>
          <w:kern w:val="0"/>
          <w:lang w:val="en-US" w:eastAsia="zh-CN"/>
        </w:rPr>
      </w:pPr>
      <w:r>
        <w:rPr>
          <w:rFonts w:hint="eastAsia" w:asciiTheme="minorEastAsia" w:hAnsiTheme="minorEastAsia" w:eastAsiaTheme="minorEastAsia" w:cstheme="minorEastAsia"/>
          <w:kern w:val="0"/>
        </w:rPr>
        <w:t>联系方式：</w:t>
      </w:r>
      <w:bookmarkStart w:id="34" w:name="_Toc28359010"/>
      <w:bookmarkStart w:id="35" w:name="_Toc28359087"/>
      <w:r>
        <w:rPr>
          <w:rFonts w:hint="eastAsia" w:asciiTheme="minorEastAsia" w:hAnsiTheme="minorEastAsia" w:eastAsiaTheme="minorEastAsia" w:cstheme="minorEastAsia"/>
          <w:kern w:val="0"/>
          <w:lang w:val="en-US" w:eastAsia="zh-CN"/>
        </w:rPr>
        <w:t>15517778922</w:t>
      </w:r>
    </w:p>
    <w:p>
      <w:pPr>
        <w:keepNext w:val="0"/>
        <w:keepLines w:val="0"/>
        <w:pageBreakBefore w:val="0"/>
        <w:kinsoku/>
        <w:wordWrap/>
        <w:overflowPunct/>
        <w:topLinePunct w:val="0"/>
        <w:autoSpaceDE/>
        <w:autoSpaceDN/>
        <w:bidi w:val="0"/>
        <w:adjustRightInd/>
        <w:snapToGrid/>
        <w:spacing w:line="500" w:lineRule="exact"/>
        <w:ind w:firstLine="630" w:firstLineChars="3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3.项目联系方式</w:t>
      </w:r>
      <w:bookmarkEnd w:id="34"/>
      <w:bookmarkEnd w:id="35"/>
    </w:p>
    <w:p>
      <w:pPr>
        <w:pStyle w:val="17"/>
        <w:keepNext w:val="0"/>
        <w:keepLines w:val="0"/>
        <w:pageBreakBefore w:val="0"/>
        <w:kinsoku/>
        <w:wordWrap/>
        <w:overflowPunct/>
        <w:topLinePunct w:val="0"/>
        <w:autoSpaceDE/>
        <w:autoSpaceDN/>
        <w:bidi w:val="0"/>
        <w:adjustRightInd/>
        <w:snapToGrid/>
        <w:spacing w:line="500" w:lineRule="exact"/>
        <w:ind w:firstLine="840" w:firstLineChars="4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项目联系人：</w:t>
      </w:r>
      <w:r>
        <w:rPr>
          <w:rFonts w:hint="eastAsia" w:asciiTheme="minorEastAsia" w:hAnsiTheme="minorEastAsia" w:eastAsiaTheme="minorEastAsia" w:cstheme="minorEastAsia"/>
          <w:lang w:eastAsia="zh-CN"/>
        </w:rPr>
        <w:t>张女士</w:t>
      </w:r>
    </w:p>
    <w:p>
      <w:pPr>
        <w:keepNext w:val="0"/>
        <w:keepLines w:val="0"/>
        <w:pageBreakBefore w:val="0"/>
        <w:kinsoku/>
        <w:wordWrap/>
        <w:overflowPunct/>
        <w:topLinePunct w:val="0"/>
        <w:autoSpaceDE/>
        <w:autoSpaceDN/>
        <w:bidi w:val="0"/>
        <w:adjustRightInd/>
        <w:snapToGrid/>
        <w:spacing w:line="500" w:lineRule="exact"/>
        <w:ind w:firstLine="840" w:firstLineChars="400"/>
        <w:textAlignment w:val="auto"/>
        <w:rPr>
          <w:rFonts w:hint="default" w:asciiTheme="minorEastAsia" w:hAnsiTheme="minorEastAsia" w:eastAsiaTheme="minorEastAsia" w:cstheme="minorEastAsia"/>
          <w:kern w:val="0"/>
          <w:lang w:val="en-US" w:eastAsia="zh-CN"/>
        </w:rPr>
      </w:pPr>
      <w:r>
        <w:rPr>
          <w:rFonts w:hint="eastAsia" w:asciiTheme="minorEastAsia" w:hAnsiTheme="minorEastAsia" w:eastAsiaTheme="minorEastAsia" w:cstheme="minorEastAsia"/>
          <w:kern w:val="0"/>
        </w:rPr>
        <w:t>电　话：</w:t>
      </w:r>
      <w:r>
        <w:rPr>
          <w:rFonts w:hint="eastAsia" w:asciiTheme="minorEastAsia" w:hAnsiTheme="minorEastAsia" w:eastAsiaTheme="minorEastAsia" w:cstheme="minorEastAsia"/>
          <w:kern w:val="0"/>
          <w:lang w:val="en-US" w:eastAsia="zh-CN"/>
        </w:rPr>
        <w:t>15517778922</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kern w:val="0"/>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发布人：温县</w:t>
      </w:r>
      <w:r>
        <w:rPr>
          <w:rFonts w:hint="eastAsia" w:asciiTheme="minorEastAsia" w:hAnsiTheme="minorEastAsia" w:eastAsiaTheme="minorEastAsia" w:cstheme="minorEastAsia"/>
          <w:lang w:eastAsia="zh-CN"/>
        </w:rPr>
        <w:t>中医院</w:t>
      </w:r>
      <w:r>
        <w:rPr>
          <w:rFonts w:hint="eastAsia" w:asciiTheme="minorEastAsia" w:hAnsiTheme="minorEastAsia" w:eastAsiaTheme="minorEastAsia" w:cstheme="minorEastAsia"/>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郑州民诚建筑工程咨询有限公司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发布时间：202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日</w:t>
      </w:r>
    </w:p>
    <w:p>
      <w:pPr>
        <w:jc w:val="right"/>
        <w:rPr>
          <w:rFonts w:hint="eastAsia" w:asciiTheme="minorEastAsia" w:hAnsiTheme="minorEastAsia" w:eastAsiaTheme="minorEastAsia" w:cstheme="minorEastAsia"/>
        </w:rPr>
      </w:pPr>
    </w:p>
    <w:p>
      <w:pPr>
        <w:jc w:val="right"/>
        <w:rPr>
          <w:rFonts w:hint="eastAsia" w:asciiTheme="minorEastAsia" w:hAnsiTheme="minorEastAsia" w:eastAsiaTheme="minorEastAsia" w:cstheme="minorEastAsia"/>
        </w:rPr>
      </w:pPr>
    </w:p>
    <w:p>
      <w:pPr>
        <w:jc w:val="right"/>
        <w:rPr>
          <w:rFonts w:hint="eastAsia" w:asciiTheme="minorEastAsia" w:hAnsiTheme="minorEastAsia" w:eastAsiaTheme="minorEastAsia" w:cstheme="minorEastAsia"/>
        </w:rPr>
      </w:pPr>
    </w:p>
    <w:p>
      <w:pPr>
        <w:jc w:val="right"/>
        <w:rPr>
          <w:rFonts w:hint="eastAsia" w:asciiTheme="minorEastAsia" w:hAnsiTheme="minorEastAsia" w:eastAsiaTheme="minorEastAsia" w:cstheme="minorEastAsia"/>
        </w:rPr>
      </w:pPr>
    </w:p>
    <w:p>
      <w:pPr>
        <w:jc w:val="right"/>
        <w:rPr>
          <w:rFonts w:hint="eastAsia" w:asciiTheme="minorEastAsia" w:hAnsiTheme="minorEastAsia" w:eastAsiaTheme="minorEastAsia" w:cstheme="minorEastAsia"/>
        </w:rPr>
      </w:pPr>
    </w:p>
    <w:p>
      <w:pPr>
        <w:jc w:val="right"/>
        <w:rPr>
          <w:rFonts w:hint="eastAsia" w:asciiTheme="minorEastAsia" w:hAnsiTheme="minorEastAsia" w:eastAsiaTheme="minorEastAsia" w:cstheme="minorEastAsia"/>
        </w:rPr>
      </w:pPr>
    </w:p>
    <w:p>
      <w:pPr>
        <w:pStyle w:val="27"/>
        <w:jc w:val="both"/>
        <w:rPr>
          <w:rFonts w:hint="eastAsia" w:asciiTheme="minorEastAsia" w:hAnsiTheme="minorEastAsia" w:eastAsiaTheme="minorEastAsia" w:cstheme="minorEastAsia"/>
          <w:kern w:val="44"/>
        </w:rPr>
      </w:pPr>
      <w:bookmarkStart w:id="36" w:name="_Toc6790"/>
      <w:bookmarkStart w:id="37" w:name="_Toc6278"/>
    </w:p>
    <w:p>
      <w:pPr>
        <w:pStyle w:val="27"/>
        <w:rPr>
          <w:rFonts w:hint="eastAsia" w:asciiTheme="minorEastAsia" w:hAnsiTheme="minorEastAsia" w:eastAsiaTheme="minorEastAsia" w:cstheme="minorEastAsia"/>
          <w:kern w:val="44"/>
        </w:rPr>
      </w:pPr>
      <w:r>
        <w:rPr>
          <w:rFonts w:hint="eastAsia" w:asciiTheme="minorEastAsia" w:hAnsiTheme="minorEastAsia" w:eastAsiaTheme="minorEastAsia" w:cstheme="minorEastAsia"/>
          <w:kern w:val="44"/>
        </w:rPr>
        <w:t>第二章投标人须知</w:t>
      </w:r>
      <w:bookmarkEnd w:id="36"/>
      <w:bookmarkEnd w:id="37"/>
    </w:p>
    <w:p>
      <w:pPr>
        <w:pStyle w:val="24"/>
        <w:spacing w:line="240" w:lineRule="auto"/>
        <w:rPr>
          <w:rFonts w:hint="eastAsia" w:asciiTheme="minorEastAsia" w:hAnsiTheme="minorEastAsia" w:eastAsiaTheme="minorEastAsia" w:cstheme="minorEastAsia"/>
        </w:rPr>
      </w:pPr>
      <w:bookmarkStart w:id="38" w:name="_Toc144974496"/>
      <w:bookmarkStart w:id="39" w:name="_Toc27148116"/>
      <w:bookmarkStart w:id="40" w:name="_Toc152042304"/>
      <w:bookmarkStart w:id="41" w:name="_Toc247527552"/>
      <w:bookmarkStart w:id="42" w:name="_Toc27716"/>
      <w:bookmarkStart w:id="43" w:name="_Toc30836"/>
      <w:bookmarkStart w:id="44" w:name="_Toc421284738"/>
      <w:bookmarkStart w:id="45" w:name="_Toc5221"/>
      <w:bookmarkStart w:id="46" w:name="_Toc247513951"/>
      <w:bookmarkStart w:id="47" w:name="_Toc152045528"/>
      <w:r>
        <w:rPr>
          <w:rFonts w:hint="eastAsia" w:asciiTheme="minorEastAsia" w:hAnsiTheme="minorEastAsia" w:eastAsiaTheme="minorEastAsia" w:cstheme="minorEastAsia"/>
        </w:rPr>
        <w:t>投标人须知前附表</w:t>
      </w:r>
      <w:bookmarkEnd w:id="38"/>
      <w:bookmarkEnd w:id="39"/>
      <w:bookmarkEnd w:id="40"/>
      <w:bookmarkEnd w:id="41"/>
      <w:bookmarkEnd w:id="42"/>
      <w:bookmarkEnd w:id="43"/>
      <w:bookmarkEnd w:id="44"/>
      <w:bookmarkEnd w:id="45"/>
      <w:bookmarkEnd w:id="46"/>
      <w:bookmarkEnd w:id="47"/>
    </w:p>
    <w:tbl>
      <w:tblPr>
        <w:tblStyle w:val="40"/>
        <w:tblW w:w="9876" w:type="dxa"/>
        <w:tblInd w:w="-106" w:type="dxa"/>
        <w:tblLayout w:type="fixed"/>
        <w:tblCellMar>
          <w:top w:w="0" w:type="dxa"/>
          <w:left w:w="108" w:type="dxa"/>
          <w:bottom w:w="0" w:type="dxa"/>
          <w:right w:w="108" w:type="dxa"/>
        </w:tblCellMar>
      </w:tblPr>
      <w:tblGrid>
        <w:gridCol w:w="1050"/>
        <w:gridCol w:w="3189"/>
        <w:gridCol w:w="5637"/>
      </w:tblGrid>
      <w:tr>
        <w:tblPrEx>
          <w:tblLayout w:type="fixed"/>
          <w:tblCellMar>
            <w:top w:w="0" w:type="dxa"/>
            <w:left w:w="108" w:type="dxa"/>
            <w:bottom w:w="0" w:type="dxa"/>
            <w:right w:w="108" w:type="dxa"/>
          </w:tblCellMar>
        </w:tblPrEx>
        <w:trPr>
          <w:trHeight w:val="334"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条款号</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条款名称</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编列内容</w:t>
            </w:r>
          </w:p>
        </w:tc>
      </w:tr>
      <w:tr>
        <w:tblPrEx>
          <w:tblLayout w:type="fixed"/>
          <w:tblCellMar>
            <w:top w:w="0" w:type="dxa"/>
            <w:left w:w="108" w:type="dxa"/>
            <w:bottom w:w="0" w:type="dxa"/>
            <w:right w:w="108" w:type="dxa"/>
          </w:tblCellMar>
        </w:tblPrEx>
        <w:trPr>
          <w:trHeight w:val="9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采购人：温县</w:t>
            </w:r>
            <w:r>
              <w:rPr>
                <w:rFonts w:hint="eastAsia" w:asciiTheme="minorEastAsia" w:hAnsiTheme="minorEastAsia" w:eastAsiaTheme="minorEastAsia" w:cstheme="minorEastAsia"/>
                <w:szCs w:val="21"/>
                <w:lang w:eastAsia="zh-CN"/>
              </w:rPr>
              <w:t>中医院</w:t>
            </w:r>
          </w:p>
          <w:p>
            <w:pPr>
              <w:spacing w:line="360" w:lineRule="exact"/>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联系人：</w:t>
            </w:r>
            <w:r>
              <w:rPr>
                <w:rFonts w:hint="eastAsia" w:asciiTheme="minorEastAsia" w:hAnsiTheme="minorEastAsia" w:eastAsiaTheme="minorEastAsia" w:cstheme="minorEastAsia"/>
                <w:color w:val="auto"/>
                <w:szCs w:val="21"/>
                <w:lang w:eastAsia="zh-CN"/>
              </w:rPr>
              <w:t>李先生</w:t>
            </w:r>
          </w:p>
          <w:p>
            <w:pPr>
              <w:spacing w:line="360" w:lineRule="exac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电话：</w:t>
            </w:r>
            <w:r>
              <w:rPr>
                <w:rFonts w:hint="eastAsia" w:asciiTheme="minorEastAsia" w:hAnsiTheme="minorEastAsia" w:eastAsiaTheme="minorEastAsia" w:cstheme="minorEastAsia"/>
                <w:color w:val="auto"/>
                <w:szCs w:val="21"/>
                <w:lang w:val="en-US" w:eastAsia="zh-CN"/>
              </w:rPr>
              <w:t>15039134646</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地址:温县</w:t>
            </w:r>
          </w:p>
        </w:tc>
      </w:tr>
      <w:tr>
        <w:tblPrEx>
          <w:tblLayout w:type="fixed"/>
          <w:tblCellMar>
            <w:top w:w="0" w:type="dxa"/>
            <w:left w:w="108" w:type="dxa"/>
            <w:bottom w:w="0" w:type="dxa"/>
            <w:right w:w="108" w:type="dxa"/>
          </w:tblCellMar>
        </w:tblPrEx>
        <w:trPr>
          <w:trHeight w:val="138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1.1.3</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采购代理机构：</w:t>
            </w:r>
            <w:r>
              <w:rPr>
                <w:rFonts w:hint="eastAsia" w:asciiTheme="minorEastAsia" w:hAnsiTheme="minorEastAsia" w:eastAsiaTheme="minorEastAsia" w:cstheme="minorEastAsia"/>
                <w:szCs w:val="21"/>
                <w:lang w:eastAsia="zh-CN"/>
              </w:rPr>
              <w:t>郑州民诚建筑工程咨询有限公司</w:t>
            </w:r>
          </w:p>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 系 人：</w:t>
            </w:r>
            <w:r>
              <w:rPr>
                <w:rFonts w:hint="eastAsia" w:asciiTheme="minorEastAsia" w:hAnsiTheme="minorEastAsia" w:eastAsiaTheme="minorEastAsia" w:cstheme="minorEastAsia"/>
                <w:szCs w:val="21"/>
                <w:lang w:eastAsia="zh-CN"/>
              </w:rPr>
              <w:t>张女士</w:t>
            </w:r>
          </w:p>
          <w:p>
            <w:pPr>
              <w:spacing w:line="360" w:lineRule="exact"/>
              <w:jc w:val="left"/>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电 话：</w:t>
            </w:r>
            <w:r>
              <w:rPr>
                <w:rFonts w:hint="eastAsia" w:asciiTheme="minorEastAsia" w:hAnsiTheme="minorEastAsia" w:eastAsiaTheme="minorEastAsia" w:cstheme="minorEastAsia"/>
                <w:szCs w:val="21"/>
                <w:lang w:val="en-US" w:eastAsia="zh-CN"/>
              </w:rPr>
              <w:t>15517778922</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址：焦作市</w:t>
            </w:r>
            <w:r>
              <w:rPr>
                <w:rFonts w:hint="eastAsia" w:asciiTheme="minorEastAsia" w:hAnsiTheme="minorEastAsia" w:eastAsiaTheme="minorEastAsia" w:cstheme="minorEastAsia"/>
                <w:szCs w:val="21"/>
                <w:lang w:eastAsia="zh-CN"/>
              </w:rPr>
              <w:t>人民路与焦东路交叉口林源大厦</w:t>
            </w:r>
          </w:p>
        </w:tc>
      </w:tr>
      <w:tr>
        <w:tblPrEx>
          <w:tblLayout w:type="fixed"/>
          <w:tblCellMar>
            <w:top w:w="0" w:type="dxa"/>
            <w:left w:w="108" w:type="dxa"/>
            <w:bottom w:w="0" w:type="dxa"/>
            <w:right w:w="108" w:type="dxa"/>
          </w:tblCellMar>
        </w:tblPrEx>
        <w:trPr>
          <w:trHeight w:val="90" w:hRule="atLeast"/>
        </w:trPr>
        <w:tc>
          <w:tcPr>
            <w:tcW w:w="1050"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1.1.4</w:t>
            </w:r>
          </w:p>
        </w:tc>
        <w:tc>
          <w:tcPr>
            <w:tcW w:w="3189" w:type="dxa"/>
            <w:vMerge w:val="restart"/>
            <w:tcBorders>
              <w:top w:val="single" w:color="auto" w:sz="4" w:space="0"/>
              <w:left w:val="single" w:color="auto" w:sz="4" w:space="0"/>
              <w:right w:val="single" w:color="auto" w:sz="4" w:space="0"/>
            </w:tcBorders>
            <w:vAlign w:val="center"/>
          </w:tcPr>
          <w:p>
            <w:pPr>
              <w:spacing w:line="360" w:lineRule="exact"/>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项目名称及项目编号</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温县中医院整体迁建室内公用区域中医药文化建设项目</w:t>
            </w:r>
          </w:p>
        </w:tc>
      </w:tr>
      <w:tr>
        <w:tblPrEx>
          <w:tblLayout w:type="fixed"/>
          <w:tblCellMar>
            <w:top w:w="0" w:type="dxa"/>
            <w:left w:w="108" w:type="dxa"/>
            <w:bottom w:w="0" w:type="dxa"/>
            <w:right w:w="108" w:type="dxa"/>
          </w:tblCellMar>
        </w:tblPrEx>
        <w:trPr>
          <w:trHeight w:val="815" w:hRule="atLeast"/>
        </w:trPr>
        <w:tc>
          <w:tcPr>
            <w:tcW w:w="1050"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p>
        </w:tc>
        <w:tc>
          <w:tcPr>
            <w:tcW w:w="3189" w:type="dxa"/>
            <w:vMerge w:val="continue"/>
            <w:tcBorders>
              <w:left w:val="single" w:color="auto" w:sz="4" w:space="0"/>
              <w:bottom w:val="single" w:color="auto" w:sz="4" w:space="0"/>
              <w:right w:val="single" w:color="auto" w:sz="4" w:space="0"/>
            </w:tcBorders>
            <w:vAlign w:val="center"/>
          </w:tcPr>
          <w:p>
            <w:pPr>
              <w:spacing w:line="360" w:lineRule="exact"/>
              <w:ind w:firstLine="525" w:firstLineChars="250"/>
              <w:rPr>
                <w:rFonts w:hint="eastAsia" w:asciiTheme="minorEastAsia" w:hAnsiTheme="minorEastAsia" w:eastAsiaTheme="minorEastAsia" w:cstheme="minorEastAsia"/>
                <w:szCs w:val="21"/>
              </w:rPr>
            </w:pP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温交易［202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22</w:t>
            </w:r>
            <w:r>
              <w:rPr>
                <w:rFonts w:hint="eastAsia" w:asciiTheme="minorEastAsia" w:hAnsiTheme="minorEastAsia" w:eastAsiaTheme="minorEastAsia" w:cstheme="minorEastAsia"/>
                <w:color w:val="auto"/>
                <w:szCs w:val="21"/>
              </w:rPr>
              <w:t>号</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szCs w:val="21"/>
              </w:rPr>
              <w:t>采购编号：温政采［202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26</w:t>
            </w:r>
            <w:r>
              <w:rPr>
                <w:rFonts w:hint="eastAsia" w:asciiTheme="minorEastAsia" w:hAnsiTheme="minorEastAsia" w:eastAsiaTheme="minorEastAsia" w:cstheme="minorEastAsia"/>
                <w:color w:val="auto"/>
                <w:szCs w:val="21"/>
              </w:rPr>
              <w:t>号</w:t>
            </w:r>
          </w:p>
        </w:tc>
      </w:tr>
      <w:tr>
        <w:tblPrEx>
          <w:tblLayout w:type="fixed"/>
          <w:tblCellMar>
            <w:top w:w="0" w:type="dxa"/>
            <w:left w:w="108" w:type="dxa"/>
            <w:bottom w:w="0" w:type="dxa"/>
            <w:right w:w="108" w:type="dxa"/>
          </w:tblCellMar>
        </w:tblPrEx>
        <w:trPr>
          <w:trHeight w:val="9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采购预算价</w:t>
            </w:r>
          </w:p>
        </w:tc>
        <w:tc>
          <w:tcPr>
            <w:tcW w:w="563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400" w:lineRule="exact"/>
              <w:jc w:val="left"/>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400万元</w:t>
            </w:r>
          </w:p>
        </w:tc>
      </w:tr>
      <w:tr>
        <w:tblPrEx>
          <w:tblLayout w:type="fixed"/>
          <w:tblCellMar>
            <w:top w:w="0" w:type="dxa"/>
            <w:left w:w="108" w:type="dxa"/>
            <w:bottom w:w="0" w:type="dxa"/>
            <w:right w:w="108" w:type="dxa"/>
          </w:tblCellMar>
        </w:tblPrEx>
        <w:trPr>
          <w:trHeight w:val="41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auto"/>
                <w:szCs w:val="21"/>
                <w:lang w:eastAsia="zh-CN"/>
              </w:rPr>
              <w:t>自筹资金</w:t>
            </w:r>
          </w:p>
        </w:tc>
      </w:tr>
      <w:tr>
        <w:tblPrEx>
          <w:tblLayout w:type="fixed"/>
          <w:tblCellMar>
            <w:top w:w="0" w:type="dxa"/>
            <w:left w:w="108" w:type="dxa"/>
            <w:bottom w:w="0" w:type="dxa"/>
            <w:right w:w="108" w:type="dxa"/>
          </w:tblCellMar>
        </w:tblPrEx>
        <w:trPr>
          <w:trHeight w:val="233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采购内容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整体文化主题策划、文案内容梳理、解说词（要求权威准确，各楼层文化主题鲜明，详略得当）；2、文化造型的设计生产制作安装（要求丰富美观，应该包含文字、图片、浮雕、雕塑、古代实物器具等；）；3、所有文化造型所在空间的顶地墙面的装修配合（要求装修风格与文化造型相互和谐美观）。</w:t>
            </w:r>
            <w:r>
              <w:rPr>
                <w:rFonts w:hint="eastAsia" w:asciiTheme="minorEastAsia" w:hAnsiTheme="minorEastAsia" w:eastAsiaTheme="minorEastAsia" w:cstheme="minorEastAsia"/>
                <w:szCs w:val="21"/>
              </w:rPr>
              <w:t>(具体参数详见招标文件采购</w:t>
            </w:r>
            <w:r>
              <w:rPr>
                <w:rFonts w:hint="eastAsia" w:asciiTheme="minorEastAsia" w:hAnsiTheme="minorEastAsia" w:eastAsiaTheme="minorEastAsia" w:cstheme="minorEastAsia"/>
                <w:szCs w:val="21"/>
                <w:lang w:eastAsia="zh-CN"/>
              </w:rPr>
              <w:t>内容</w:t>
            </w:r>
            <w:r>
              <w:rPr>
                <w:rFonts w:hint="eastAsia" w:asciiTheme="minorEastAsia" w:hAnsiTheme="minorEastAsia" w:eastAsiaTheme="minorEastAsia" w:cstheme="minorEastAsia"/>
                <w:szCs w:val="21"/>
              </w:rPr>
              <w:t>)</w:t>
            </w:r>
          </w:p>
        </w:tc>
      </w:tr>
      <w:tr>
        <w:tblPrEx>
          <w:tblLayout w:type="fixed"/>
          <w:tblCellMar>
            <w:top w:w="0" w:type="dxa"/>
            <w:left w:w="108" w:type="dxa"/>
            <w:bottom w:w="0" w:type="dxa"/>
            <w:right w:w="108" w:type="dxa"/>
          </w:tblCellMar>
        </w:tblPrEx>
        <w:trPr>
          <w:trHeight w:val="433"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合同履行期限</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bCs/>
                <w:kern w:val="0"/>
                <w:szCs w:val="21"/>
                <w:lang w:val="en-US" w:eastAsia="zh-CN"/>
              </w:rPr>
              <w:t>120</w:t>
            </w:r>
            <w:r>
              <w:rPr>
                <w:rFonts w:hint="eastAsia" w:asciiTheme="minorEastAsia" w:hAnsiTheme="minorEastAsia" w:eastAsiaTheme="minorEastAsia" w:cstheme="minorEastAsia"/>
                <w:bCs/>
                <w:kern w:val="0"/>
                <w:szCs w:val="21"/>
                <w:lang w:eastAsia="zh-CN"/>
              </w:rPr>
              <w:t>日历天</w:t>
            </w:r>
          </w:p>
        </w:tc>
      </w:tr>
      <w:tr>
        <w:tblPrEx>
          <w:tblLayout w:type="fixed"/>
          <w:tblCellMar>
            <w:top w:w="0" w:type="dxa"/>
            <w:left w:w="108" w:type="dxa"/>
            <w:bottom w:w="0" w:type="dxa"/>
            <w:right w:w="108" w:type="dxa"/>
          </w:tblCellMar>
        </w:tblPrEx>
        <w:trPr>
          <w:trHeight w:val="37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1.3.3</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w:t>
            </w:r>
          </w:p>
        </w:tc>
      </w:tr>
      <w:tr>
        <w:tblPrEx>
          <w:tblLayout w:type="fixed"/>
          <w:tblCellMar>
            <w:top w:w="0" w:type="dxa"/>
            <w:left w:w="108" w:type="dxa"/>
            <w:bottom w:w="0" w:type="dxa"/>
            <w:right w:w="108" w:type="dxa"/>
          </w:tblCellMar>
        </w:tblPrEx>
        <w:trPr>
          <w:trHeight w:val="31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1.3.4</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质保期</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1年</w:t>
            </w:r>
          </w:p>
        </w:tc>
      </w:tr>
      <w:tr>
        <w:tblPrEx>
          <w:tblLayout w:type="fixed"/>
          <w:tblCellMar>
            <w:top w:w="0" w:type="dxa"/>
            <w:left w:w="108" w:type="dxa"/>
            <w:bottom w:w="0" w:type="dxa"/>
            <w:right w:w="108" w:type="dxa"/>
          </w:tblCellMar>
        </w:tblPrEx>
        <w:trPr>
          <w:trHeight w:val="31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w:t>
            </w:r>
          </w:p>
        </w:tc>
        <w:tc>
          <w:tcPr>
            <w:tcW w:w="5637" w:type="dxa"/>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供应商符合《中华人民共和国政府采购法》第二十二条的规定</w:t>
            </w:r>
            <w:r>
              <w:rPr>
                <w:rFonts w:hint="eastAsia" w:asciiTheme="minorEastAsia" w:hAnsiTheme="minorEastAsia" w:eastAsiaTheme="minorEastAsia" w:cstheme="minorEastAsia"/>
                <w:szCs w:val="21"/>
                <w:lang w:eastAsia="zh-CN"/>
              </w:rPr>
              <w:t>：</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1.1具有独立承担民事责任的能力。</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1.2具有良好的商业信誉和健全的财务会计制度。</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1.3具有履行合同所必需的设备和专业技术能力。</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1.4有依法缴纳税收和社会保障资金的良好记录。</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1.5参加政府采购活动前三年内，在经营活动中没有重大违法记录。</w:t>
            </w:r>
          </w:p>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1.6法律、行政法规规定的其他条件。</w:t>
            </w:r>
          </w:p>
          <w:p>
            <w:pPr>
              <w:spacing w:line="360" w:lineRule="exact"/>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投标人生产或经营范围应符合本项目要求且</w:t>
            </w:r>
            <w:r>
              <w:rPr>
                <w:rFonts w:hint="eastAsia" w:asciiTheme="minorEastAsia" w:hAnsiTheme="minorEastAsia" w:eastAsiaTheme="minorEastAsia" w:cstheme="minorEastAsia"/>
                <w:lang w:val="en-US" w:eastAsia="zh-CN"/>
              </w:rPr>
              <w:t>具备有效的营业执照（副本）、税务登记证（副本）、组织机构代码证（三证合一单位只需提供营业执照副本）；</w:t>
            </w:r>
          </w:p>
          <w:p>
            <w:pPr>
              <w:spacing w:line="360" w:lineRule="exact"/>
              <w:jc w:val="left"/>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szCs w:val="21"/>
                <w:shd w:val="clear" w:color="auto" w:fill="FFFFFF"/>
                <w:lang w:val="en-US" w:eastAsia="zh-CN"/>
              </w:rPr>
              <w:t>3、</w:t>
            </w:r>
            <w:r>
              <w:rPr>
                <w:rFonts w:hint="eastAsia" w:asciiTheme="minorEastAsia" w:hAnsiTheme="minorEastAsia" w:eastAsiaTheme="minorEastAsia" w:cstheme="minorEastAsia"/>
                <w:szCs w:val="21"/>
                <w:shd w:val="clear" w:color="auto" w:fill="FFFFFF"/>
              </w:rPr>
              <w:t>信誉要求：</w:t>
            </w:r>
            <w:r>
              <w:rPr>
                <w:rFonts w:hint="eastAsia" w:asciiTheme="minorEastAsia" w:hAnsiTheme="minorEastAsia" w:eastAsiaTheme="minorEastAsia" w:cstheme="minorEastAsia"/>
                <w:szCs w:val="21"/>
              </w:rPr>
              <w:t>根据《关于在政府采购活动中查询及使用信用记录有关问题的通知》(财库[2016]125号)的规定，采购代理机构将通过“信用中国”网站（www.creditchina.gov.cn）、中国政府采购网（www.ccgp.gov.cn）等渠道在资格审查环节查</w:t>
            </w:r>
            <w:r>
              <w:rPr>
                <w:rFonts w:hint="eastAsia" w:asciiTheme="minorEastAsia" w:hAnsiTheme="minorEastAsia" w:eastAsiaTheme="minorEastAsia" w:cstheme="minorEastAsia"/>
                <w:bCs/>
                <w:szCs w:val="21"/>
              </w:rPr>
              <w:t>询供应商信用记录，被列入失信被执行人、重大税收违法案件当事人名单、政府采购严重违法失信行为记录名单的单位将被拒绝参与本项目政府采购活动；信用信息查询记录和证据将同采购文件等资料一同归档保存。（供应商需提供网站查询截图，加盖企业公章）</w:t>
            </w:r>
            <w:r>
              <w:rPr>
                <w:rFonts w:hint="eastAsia" w:asciiTheme="minorEastAsia" w:hAnsiTheme="minorEastAsia" w:eastAsiaTheme="minorEastAsia" w:cstheme="minorEastAsia"/>
                <w:bCs/>
                <w:szCs w:val="21"/>
                <w:lang w:eastAsia="zh-CN"/>
              </w:rPr>
              <w:t>；</w:t>
            </w:r>
          </w:p>
          <w:p>
            <w:pPr>
              <w:spacing w:line="360" w:lineRule="exact"/>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供应商必须提供无行贿犯罪记录承诺书，(出具由“中国裁判文书网”网站查询近三年来法人、法定代表人、法定代表人委托人无行贿犯罪记录网页截图加盖企业公章证明)；若有行贿犯罪记录则取消其投标资格；</w:t>
            </w:r>
          </w:p>
          <w:p>
            <w:pPr>
              <w:spacing w:line="360" w:lineRule="exact"/>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、供应商必须提供投标承诺函；</w:t>
            </w:r>
          </w:p>
          <w:p>
            <w:pPr>
              <w:spacing w:line="360" w:lineRule="exact"/>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、本次招标不接受联合体投标。</w:t>
            </w:r>
          </w:p>
          <w:p>
            <w:pPr>
              <w:spacing w:line="360" w:lineRule="exact"/>
              <w:jc w:val="left"/>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eastAsia="zh-CN"/>
              </w:rPr>
              <w:t>注：资格审查资料所需证件均为复印件，开标时提供相应原件并列明清单，供评委评审。</w:t>
            </w:r>
          </w:p>
          <w:p>
            <w:pPr>
              <w:spacing w:line="360" w:lineRule="exact"/>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eastAsia="zh-CN"/>
              </w:rPr>
              <w:t>其他要求：</w:t>
            </w:r>
            <w:r>
              <w:rPr>
                <w:rFonts w:hint="eastAsia" w:asciiTheme="minorEastAsia" w:hAnsiTheme="minorEastAsia" w:eastAsiaTheme="minorEastAsia" w:cstheme="minorEastAsia"/>
                <w:bCs/>
                <w:szCs w:val="21"/>
              </w:rPr>
              <w:t>（以下证件均为原件于开标时交到工作人员处，否则视为自动放弃投标，不再接收其投标文件）</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1、法人持法定代表人身份证及身份证复印件（复印件须加盖公章）或授权委托人持法人授权委托书及本人身份证（复印件须加盖公章）。</w:t>
            </w:r>
          </w:p>
        </w:tc>
      </w:tr>
      <w:tr>
        <w:tblPrEx>
          <w:tblLayout w:type="fixed"/>
          <w:tblCellMar>
            <w:top w:w="0" w:type="dxa"/>
            <w:left w:w="108" w:type="dxa"/>
            <w:bottom w:w="0" w:type="dxa"/>
            <w:right w:w="108" w:type="dxa"/>
          </w:tblCellMar>
        </w:tblPrEx>
        <w:trPr>
          <w:trHeight w:val="45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是否接受联合体投标</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不接受</w:t>
            </w:r>
          </w:p>
        </w:tc>
      </w:tr>
      <w:tr>
        <w:tblPrEx>
          <w:tblLayout w:type="fixed"/>
          <w:tblCellMar>
            <w:top w:w="0" w:type="dxa"/>
            <w:left w:w="108" w:type="dxa"/>
            <w:bottom w:w="0" w:type="dxa"/>
            <w:right w:w="108" w:type="dxa"/>
          </w:tblCellMar>
        </w:tblPrEx>
        <w:trPr>
          <w:trHeight w:val="50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1.7.2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采购人书面澄清的时间</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递交投标文件截止时间15天前</w:t>
            </w:r>
          </w:p>
        </w:tc>
      </w:tr>
      <w:tr>
        <w:tblPrEx>
          <w:tblLayout w:type="fixed"/>
          <w:tblCellMar>
            <w:top w:w="0" w:type="dxa"/>
            <w:left w:w="108" w:type="dxa"/>
            <w:bottom w:w="0" w:type="dxa"/>
            <w:right w:w="108" w:type="dxa"/>
          </w:tblCellMar>
        </w:tblPrEx>
        <w:trPr>
          <w:trHeight w:val="608"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投标截止时间及地点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北京时间：202</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时</w:t>
            </w:r>
            <w:r>
              <w:rPr>
                <w:rFonts w:hint="eastAsia" w:asciiTheme="minorEastAsia" w:hAnsiTheme="minorEastAsia" w:eastAsiaTheme="minorEastAsia" w:cstheme="minorEastAsia"/>
                <w:color w:val="auto"/>
                <w:szCs w:val="21"/>
                <w:highlight w:val="none"/>
                <w:lang w:val="en-US" w:eastAsia="zh-CN"/>
              </w:rPr>
              <w:t>00</w:t>
            </w:r>
            <w:r>
              <w:rPr>
                <w:rFonts w:hint="eastAsia" w:asciiTheme="minorEastAsia" w:hAnsiTheme="minorEastAsia" w:eastAsiaTheme="minorEastAsia" w:cstheme="minorEastAsia"/>
                <w:color w:val="auto"/>
                <w:szCs w:val="21"/>
                <w:highlight w:val="none"/>
              </w:rPr>
              <w:t>分</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地点：温县公共资源交易中心开标厅</w:t>
            </w:r>
          </w:p>
        </w:tc>
      </w:tr>
      <w:tr>
        <w:tblPrEx>
          <w:tblLayout w:type="fixed"/>
          <w:tblCellMar>
            <w:top w:w="0" w:type="dxa"/>
            <w:left w:w="108" w:type="dxa"/>
            <w:bottom w:w="0" w:type="dxa"/>
            <w:right w:w="108" w:type="dxa"/>
          </w:tblCellMar>
        </w:tblPrEx>
        <w:trPr>
          <w:trHeight w:val="51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3.4.1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投标文件递交截止日起60日历天</w:t>
            </w:r>
          </w:p>
        </w:tc>
      </w:tr>
      <w:tr>
        <w:tblPrEx>
          <w:tblLayout w:type="fixed"/>
          <w:tblCellMar>
            <w:top w:w="0" w:type="dxa"/>
            <w:left w:w="108" w:type="dxa"/>
            <w:bottom w:w="0" w:type="dxa"/>
            <w:right w:w="108" w:type="dxa"/>
          </w:tblCellMar>
        </w:tblPrEx>
        <w:trPr>
          <w:trHeight w:val="427"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无</w:t>
            </w:r>
          </w:p>
        </w:tc>
      </w:tr>
      <w:tr>
        <w:tblPrEx>
          <w:tblLayout w:type="fixed"/>
          <w:tblCellMar>
            <w:top w:w="0" w:type="dxa"/>
            <w:left w:w="108" w:type="dxa"/>
            <w:bottom w:w="0" w:type="dxa"/>
            <w:right w:w="108" w:type="dxa"/>
          </w:tblCellMar>
        </w:tblPrEx>
        <w:trPr>
          <w:trHeight w:val="526"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3.7.4</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投标文件正、副本份数</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w:t>
            </w:r>
            <w:r>
              <w:rPr>
                <w:rFonts w:hint="eastAsia" w:asciiTheme="minorEastAsia" w:hAnsiTheme="minorEastAsia" w:eastAsiaTheme="minorEastAsia" w:cstheme="minorEastAsia"/>
                <w:szCs w:val="21"/>
                <w:u w:val="single"/>
              </w:rPr>
              <w:t>壹</w:t>
            </w:r>
            <w:r>
              <w:rPr>
                <w:rFonts w:hint="eastAsia" w:asciiTheme="minorEastAsia" w:hAnsiTheme="minorEastAsia" w:eastAsiaTheme="minorEastAsia" w:cstheme="minorEastAsia"/>
                <w:szCs w:val="21"/>
              </w:rPr>
              <w:t>份，副本</w:t>
            </w:r>
            <w:r>
              <w:rPr>
                <w:rFonts w:hint="eastAsia" w:asciiTheme="minorEastAsia" w:hAnsiTheme="minorEastAsia" w:eastAsiaTheme="minorEastAsia" w:cstheme="minorEastAsia"/>
                <w:szCs w:val="21"/>
                <w:u w:val="single"/>
              </w:rPr>
              <w:t>伍</w:t>
            </w:r>
            <w:r>
              <w:rPr>
                <w:rFonts w:hint="eastAsia" w:asciiTheme="minorEastAsia" w:hAnsiTheme="minorEastAsia" w:eastAsiaTheme="minorEastAsia" w:cstheme="minorEastAsia"/>
                <w:szCs w:val="21"/>
              </w:rPr>
              <w:t>份。</w:t>
            </w:r>
            <w:r>
              <w:rPr>
                <w:rFonts w:hint="eastAsia" w:asciiTheme="minorEastAsia" w:hAnsiTheme="minorEastAsia" w:eastAsiaTheme="minorEastAsia" w:cstheme="minorEastAsia"/>
              </w:rPr>
              <w:t>电子版1份（</w:t>
            </w:r>
            <w:r>
              <w:rPr>
                <w:rFonts w:hint="eastAsia" w:asciiTheme="minorEastAsia" w:hAnsiTheme="minorEastAsia" w:eastAsiaTheme="minorEastAsia" w:cstheme="minorEastAsia"/>
                <w:u w:val="single"/>
              </w:rPr>
              <w:t>U盘</w:t>
            </w:r>
            <w:r>
              <w:rPr>
                <w:rFonts w:hint="eastAsia" w:asciiTheme="minorEastAsia" w:hAnsiTheme="minorEastAsia" w:eastAsiaTheme="minorEastAsia" w:cstheme="minorEastAsia"/>
              </w:rPr>
              <w:t>格式）</w:t>
            </w:r>
          </w:p>
        </w:tc>
      </w:tr>
      <w:tr>
        <w:tblPrEx>
          <w:tblLayout w:type="fixed"/>
          <w:tblCellMar>
            <w:top w:w="0" w:type="dxa"/>
            <w:left w:w="108" w:type="dxa"/>
            <w:bottom w:w="0" w:type="dxa"/>
            <w:right w:w="108" w:type="dxa"/>
          </w:tblCellMar>
        </w:tblPrEx>
        <w:trPr>
          <w:trHeight w:val="481"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3.1.0</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不组织</w:t>
            </w:r>
          </w:p>
        </w:tc>
      </w:tr>
      <w:tr>
        <w:tblPrEx>
          <w:tblLayout w:type="fixed"/>
          <w:tblCellMar>
            <w:top w:w="0" w:type="dxa"/>
            <w:left w:w="108" w:type="dxa"/>
            <w:bottom w:w="0" w:type="dxa"/>
            <w:right w:w="108" w:type="dxa"/>
          </w:tblCellMar>
        </w:tblPrEx>
        <w:trPr>
          <w:trHeight w:val="53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4.1.1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装订要求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投标文件的正本与副本应采用左侧胶粘方式装订。</w:t>
            </w:r>
          </w:p>
        </w:tc>
      </w:tr>
      <w:tr>
        <w:tblPrEx>
          <w:tblLayout w:type="fixed"/>
          <w:tblCellMar>
            <w:top w:w="0" w:type="dxa"/>
            <w:left w:w="108" w:type="dxa"/>
            <w:bottom w:w="0" w:type="dxa"/>
            <w:right w:w="108" w:type="dxa"/>
          </w:tblCellMar>
        </w:tblPrEx>
        <w:trPr>
          <w:trHeight w:val="637"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4.1.2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密封要求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投标文件的正本单独密封、副本整体密封、提供电子版1份，电子版单独密封。</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封套的封口处加盖</w:t>
            </w:r>
            <w:r>
              <w:rPr>
                <w:rFonts w:hint="eastAsia" w:asciiTheme="minorEastAsia" w:hAnsiTheme="minorEastAsia" w:eastAsiaTheme="minorEastAsia" w:cstheme="minorEastAsia"/>
                <w:szCs w:val="21"/>
                <w:lang w:eastAsia="zh-CN"/>
              </w:rPr>
              <w:t>投标</w:t>
            </w:r>
            <w:r>
              <w:rPr>
                <w:rFonts w:hint="eastAsia" w:asciiTheme="minorEastAsia" w:hAnsiTheme="minorEastAsia" w:eastAsiaTheme="minorEastAsia" w:cstheme="minorEastAsia"/>
                <w:szCs w:val="21"/>
              </w:rPr>
              <w:t>单位章并由</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的法定代表人或其授权的代理人签字。</w:t>
            </w:r>
          </w:p>
        </w:tc>
      </w:tr>
      <w:tr>
        <w:tblPrEx>
          <w:tblLayout w:type="fixed"/>
          <w:tblCellMar>
            <w:top w:w="0" w:type="dxa"/>
            <w:left w:w="108" w:type="dxa"/>
            <w:bottom w:w="0" w:type="dxa"/>
            <w:right w:w="108" w:type="dxa"/>
          </w:tblCellMar>
        </w:tblPrEx>
        <w:trPr>
          <w:trHeight w:val="452"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4.1.3</w:t>
            </w:r>
          </w:p>
        </w:tc>
        <w:tc>
          <w:tcPr>
            <w:tcW w:w="3189" w:type="dxa"/>
            <w:tcBorders>
              <w:top w:val="single" w:color="auto" w:sz="4" w:space="0"/>
              <w:left w:val="single" w:color="auto" w:sz="4" w:space="0"/>
              <w:bottom w:val="single" w:color="auto" w:sz="4" w:space="0"/>
              <w:right w:val="single" w:color="auto" w:sz="4" w:space="0"/>
            </w:tcBorders>
            <w:vAlign w:val="center"/>
          </w:tcPr>
          <w:p>
            <w:pPr>
              <w:spacing w:line="400" w:lineRule="exact"/>
              <w:ind w:left="37" w:leftChars="18"/>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封套上应写明的内容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宋体" w:hAnsi="宋体" w:cs="宋体"/>
                <w:color w:val="auto"/>
                <w:szCs w:val="21"/>
              </w:rPr>
            </w:pPr>
            <w:r>
              <w:rPr>
                <w:rFonts w:hint="eastAsia" w:ascii="宋体" w:hAnsi="宋体" w:cs="宋体"/>
                <w:color w:val="auto"/>
                <w:szCs w:val="21"/>
              </w:rPr>
              <w:t>正本或副本/电子文档</w:t>
            </w:r>
          </w:p>
          <w:p>
            <w:pPr>
              <w:spacing w:line="320" w:lineRule="exact"/>
              <w:jc w:val="left"/>
              <w:rPr>
                <w:rFonts w:hint="eastAsia" w:ascii="宋体" w:hAnsi="宋体" w:cs="宋体"/>
                <w:color w:val="auto"/>
                <w:szCs w:val="21"/>
              </w:rPr>
            </w:pPr>
            <w:r>
              <w:rPr>
                <w:rFonts w:hint="eastAsia" w:ascii="宋体" w:hAnsi="宋体" w:cs="宋体"/>
                <w:color w:val="auto"/>
                <w:szCs w:val="21"/>
              </w:rPr>
              <w:t xml:space="preserve">项目名称：                  </w:t>
            </w:r>
          </w:p>
          <w:p>
            <w:pPr>
              <w:spacing w:line="320" w:lineRule="exact"/>
              <w:jc w:val="left"/>
              <w:rPr>
                <w:rFonts w:hint="eastAsia" w:ascii="宋体" w:hAnsi="宋体" w:cs="宋体"/>
                <w:color w:val="auto"/>
                <w:szCs w:val="21"/>
              </w:rPr>
            </w:pPr>
            <w:r>
              <w:rPr>
                <w:rFonts w:hint="eastAsia" w:ascii="宋体" w:hAnsi="宋体" w:cs="宋体"/>
                <w:color w:val="auto"/>
                <w:szCs w:val="21"/>
              </w:rPr>
              <w:t>项目编号：温交易【202</w:t>
            </w:r>
            <w:r>
              <w:rPr>
                <w:rFonts w:hint="eastAsia" w:ascii="宋体" w:hAnsi="宋体" w:cs="宋体"/>
                <w:color w:val="auto"/>
                <w:szCs w:val="21"/>
                <w:lang w:val="en-US" w:eastAsia="zh-CN"/>
              </w:rPr>
              <w:t>1</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号  温政采【202</w:t>
            </w:r>
            <w:r>
              <w:rPr>
                <w:rFonts w:hint="eastAsia" w:ascii="宋体" w:hAnsi="宋体" w:cs="宋体"/>
                <w:color w:val="auto"/>
                <w:szCs w:val="21"/>
                <w:lang w:val="en-US" w:eastAsia="zh-CN"/>
              </w:rPr>
              <w:t>1</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号</w:t>
            </w:r>
          </w:p>
          <w:p>
            <w:pPr>
              <w:spacing w:line="320" w:lineRule="exact"/>
              <w:jc w:val="left"/>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20" w:lineRule="exact"/>
              <w:jc w:val="left"/>
              <w:rPr>
                <w:rFonts w:ascii="宋体" w:hAnsi="宋体" w:cs="宋体"/>
                <w:color w:val="auto"/>
                <w:szCs w:val="21"/>
                <w:u w:val="single"/>
              </w:rPr>
            </w:pPr>
            <w:r>
              <w:rPr>
                <w:rFonts w:hint="eastAsia" w:ascii="宋体" w:hAnsi="宋体" w:cs="宋体"/>
                <w:color w:val="auto"/>
                <w:szCs w:val="21"/>
              </w:rPr>
              <w:t>投标人地址：</w:t>
            </w:r>
            <w:r>
              <w:rPr>
                <w:rFonts w:hint="eastAsia" w:ascii="宋体" w:hAnsi="宋体" w:cs="宋体"/>
                <w:color w:val="auto"/>
                <w:szCs w:val="21"/>
                <w:u w:val="single"/>
              </w:rPr>
              <w:t xml:space="preserve">                      </w:t>
            </w:r>
          </w:p>
          <w:p>
            <w:pPr>
              <w:spacing w:line="400" w:lineRule="exact"/>
              <w:rPr>
                <w:rFonts w:hint="eastAsia" w:asciiTheme="minorEastAsia" w:hAnsiTheme="minorEastAsia" w:eastAsiaTheme="minorEastAsia" w:cstheme="minorEastAsia"/>
                <w:b/>
                <w:bCs/>
                <w:kern w:val="0"/>
                <w:szCs w:val="21"/>
              </w:rPr>
            </w:pPr>
            <w:r>
              <w:rPr>
                <w:rFonts w:hint="eastAsia" w:ascii="宋体" w:hAnsi="宋体" w:cs="宋体"/>
                <w:color w:val="auto"/>
                <w:szCs w:val="21"/>
              </w:rPr>
              <w:t>在</w:t>
            </w:r>
            <w:r>
              <w:rPr>
                <w:rFonts w:hint="eastAsia" w:ascii="宋体" w:hAnsi="宋体" w:cs="宋体"/>
                <w:color w:val="auto"/>
                <w:szCs w:val="21"/>
                <w:u w:val="single"/>
              </w:rPr>
              <w:t xml:space="preserve">  年  月  日  时  分</w:t>
            </w:r>
            <w:r>
              <w:rPr>
                <w:rFonts w:hint="eastAsia" w:ascii="宋体" w:hAnsi="宋体" w:cs="宋体"/>
                <w:color w:val="auto"/>
                <w:szCs w:val="21"/>
              </w:rPr>
              <w:t>前不得开启</w:t>
            </w:r>
          </w:p>
        </w:tc>
      </w:tr>
      <w:tr>
        <w:tblPrEx>
          <w:tblLayout w:type="fixed"/>
          <w:tblCellMar>
            <w:top w:w="0" w:type="dxa"/>
            <w:left w:w="108" w:type="dxa"/>
            <w:bottom w:w="0" w:type="dxa"/>
            <w:right w:w="108" w:type="dxa"/>
          </w:tblCellMar>
        </w:tblPrEx>
        <w:trPr>
          <w:trHeight w:val="538"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4.2.2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递交投标文件方式和地点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温县公共资源交易中心开标厅</w:t>
            </w:r>
          </w:p>
        </w:tc>
      </w:tr>
      <w:tr>
        <w:tblPrEx>
          <w:tblLayout w:type="fixed"/>
          <w:tblCellMar>
            <w:top w:w="0" w:type="dxa"/>
            <w:left w:w="108" w:type="dxa"/>
            <w:bottom w:w="0" w:type="dxa"/>
            <w:right w:w="108" w:type="dxa"/>
          </w:tblCellMar>
        </w:tblPrEx>
        <w:trPr>
          <w:trHeight w:val="74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开标时间和地点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同投标截止时间</w:t>
            </w:r>
          </w:p>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地点：温县公共资源交易中心开标厅</w:t>
            </w:r>
          </w:p>
        </w:tc>
      </w:tr>
      <w:tr>
        <w:tblPrEx>
          <w:tblLayout w:type="fixed"/>
          <w:tblCellMar>
            <w:top w:w="0" w:type="dxa"/>
            <w:left w:w="108" w:type="dxa"/>
            <w:bottom w:w="0" w:type="dxa"/>
            <w:right w:w="108" w:type="dxa"/>
          </w:tblCellMar>
        </w:tblPrEx>
        <w:trPr>
          <w:trHeight w:val="77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评标委员会的组建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评标委员会构成：由采购人代表1人、有关技术、经济专家4人，共</w:t>
            </w:r>
            <w:r>
              <w:rPr>
                <w:rFonts w:hint="eastAsia" w:asciiTheme="minorEastAsia" w:hAnsiTheme="minorEastAsia" w:eastAsiaTheme="minorEastAsia" w:cstheme="minorEastAsia"/>
                <w:szCs w:val="21"/>
                <w:u w:val="single"/>
              </w:rPr>
              <w:t>5</w:t>
            </w:r>
            <w:r>
              <w:rPr>
                <w:rFonts w:hint="eastAsia" w:asciiTheme="minorEastAsia" w:hAnsiTheme="minorEastAsia" w:eastAsiaTheme="minorEastAsia" w:cstheme="minorEastAsia"/>
                <w:szCs w:val="21"/>
              </w:rPr>
              <w:t>人组成。</w:t>
            </w:r>
          </w:p>
        </w:tc>
      </w:tr>
      <w:tr>
        <w:tblPrEx>
          <w:tblLayout w:type="fixed"/>
          <w:tblCellMar>
            <w:top w:w="0" w:type="dxa"/>
            <w:left w:w="108" w:type="dxa"/>
            <w:bottom w:w="0" w:type="dxa"/>
            <w:right w:w="108" w:type="dxa"/>
          </w:tblCellMar>
        </w:tblPrEx>
        <w:trPr>
          <w:trHeight w:val="540"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评标办法</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综合评标法</w:t>
            </w:r>
          </w:p>
        </w:tc>
      </w:tr>
      <w:tr>
        <w:tblPrEx>
          <w:tblLayout w:type="fixed"/>
          <w:tblCellMar>
            <w:top w:w="0" w:type="dxa"/>
            <w:left w:w="108" w:type="dxa"/>
            <w:bottom w:w="0" w:type="dxa"/>
            <w:right w:w="108" w:type="dxa"/>
          </w:tblCellMar>
        </w:tblPrEx>
        <w:trPr>
          <w:trHeight w:val="55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无</w:t>
            </w:r>
          </w:p>
        </w:tc>
      </w:tr>
      <w:tr>
        <w:tblPrEx>
          <w:tblLayout w:type="fixed"/>
          <w:tblCellMar>
            <w:top w:w="0" w:type="dxa"/>
            <w:left w:w="108" w:type="dxa"/>
            <w:bottom w:w="0" w:type="dxa"/>
            <w:right w:w="108" w:type="dxa"/>
          </w:tblCellMar>
        </w:tblPrEx>
        <w:trPr>
          <w:trHeight w:val="945"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9.1</w:t>
            </w:r>
          </w:p>
        </w:tc>
        <w:tc>
          <w:tcPr>
            <w:tcW w:w="3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需要落实的政策</w:t>
            </w:r>
          </w:p>
        </w:tc>
        <w:tc>
          <w:tcPr>
            <w:tcW w:w="563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本项目执行促进中小型企业发展政策（监狱企业、残疾人福利性企业视同小微企业）。</w:t>
            </w:r>
          </w:p>
        </w:tc>
      </w:tr>
      <w:tr>
        <w:tblPrEx>
          <w:tblLayout w:type="fixed"/>
          <w:tblCellMar>
            <w:top w:w="0" w:type="dxa"/>
            <w:left w:w="108" w:type="dxa"/>
            <w:bottom w:w="0" w:type="dxa"/>
            <w:right w:w="108" w:type="dxa"/>
          </w:tblCellMar>
        </w:tblPrEx>
        <w:trPr>
          <w:trHeight w:val="440"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t>需要补充的其他内容</w:t>
            </w:r>
          </w:p>
        </w:tc>
      </w:tr>
      <w:tr>
        <w:tblPrEx>
          <w:tblLayout w:type="fixed"/>
          <w:tblCellMar>
            <w:top w:w="0" w:type="dxa"/>
            <w:left w:w="108" w:type="dxa"/>
            <w:bottom w:w="0" w:type="dxa"/>
            <w:right w:w="108" w:type="dxa"/>
          </w:tblCellMar>
        </w:tblPrEx>
        <w:trPr>
          <w:trHeight w:val="424" w:hRule="atLeast"/>
        </w:trPr>
        <w:tc>
          <w:tcPr>
            <w:tcW w:w="9876" w:type="dxa"/>
            <w:gridSpan w:val="3"/>
            <w:tcBorders>
              <w:top w:val="single" w:color="auto" w:sz="4" w:space="0"/>
              <w:left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1.招标代理服务费的收取标准及支付程序：参照《招标代理服务收费管理暂行办法》国家发改委[2011]534号文及【国发改办价格（2003）857号】招标代理收费规定，由中标人支付招标代理服务费。</w:t>
            </w:r>
          </w:p>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2.供应商与采购人签订采购合同的当天由采购人将合同进行网上公示，并将合同副本原件报采购代理机构备案。</w:t>
            </w:r>
          </w:p>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.采购人或采购代理机构应当通过“信用中国”网站、“中国裁判文书网”或各级信用信息共享平台查</w:t>
            </w:r>
          </w:p>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询相关供应商是否被列入失信被执行人、是否有行贿犯罪记录。供应商如记录为失信被执行人、有行贿</w:t>
            </w:r>
          </w:p>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犯罪记录的将被取消其评标、中标资格。信用信息查询记录和证据将同招标文件等资料一同归档保存。</w:t>
            </w:r>
          </w:p>
        </w:tc>
      </w:tr>
      <w:tr>
        <w:tblPrEx>
          <w:tblLayout w:type="fixed"/>
          <w:tblCellMar>
            <w:top w:w="0" w:type="dxa"/>
            <w:left w:w="108" w:type="dxa"/>
            <w:bottom w:w="0" w:type="dxa"/>
            <w:right w:w="108" w:type="dxa"/>
          </w:tblCellMar>
        </w:tblPrEx>
        <w:trPr>
          <w:trHeight w:val="387"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本招标文件未尽事宜，按《中华人民共和国政府采购法》、《中华人民共和国政府采购法实施条例》、</w:t>
            </w:r>
          </w:p>
          <w:p>
            <w:pPr>
              <w:spacing w:line="360" w:lineRule="exac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《政府采购货物和服务招标投标管理办法》等法律法规的有关规定执行；招标文件最终解释权归采购人所有。</w:t>
            </w:r>
          </w:p>
        </w:tc>
      </w:tr>
    </w:tbl>
    <w:p>
      <w:pPr>
        <w:pStyle w:val="2"/>
        <w:pageBreakBefore w:val="0"/>
        <w:numPr>
          <w:ilvl w:val="1"/>
          <w:numId w:val="0"/>
        </w:numPr>
        <w:kinsoku/>
        <w:wordWrap/>
        <w:overflowPunct/>
        <w:topLinePunct w:val="0"/>
        <w:bidi w:val="0"/>
        <w:spacing w:before="0" w:after="0" w:line="500" w:lineRule="exact"/>
        <w:ind w:left="468"/>
        <w:jc w:val="left"/>
        <w:textAlignment w:val="auto"/>
        <w:rPr>
          <w:rStyle w:val="70"/>
          <w:rFonts w:hint="eastAsia" w:asciiTheme="minorEastAsia" w:hAnsiTheme="minorEastAsia" w:eastAsiaTheme="minorEastAsia" w:cstheme="minorEastAsia"/>
          <w:b w:val="0"/>
          <w:bCs/>
        </w:rPr>
      </w:pPr>
      <w:bookmarkStart w:id="48" w:name="_Toc421284740"/>
      <w:bookmarkStart w:id="49" w:name="_Toc12291"/>
      <w:bookmarkStart w:id="50" w:name="_Toc6627"/>
      <w:bookmarkStart w:id="51" w:name="_Toc2171"/>
      <w:bookmarkStart w:id="52" w:name="_Toc27148117"/>
      <w:bookmarkStart w:id="53" w:name="_Toc28006"/>
      <w:bookmarkStart w:id="54" w:name="_Toc175644026"/>
      <w:r>
        <w:rPr>
          <w:rStyle w:val="70"/>
          <w:rFonts w:hint="eastAsia" w:asciiTheme="minorEastAsia" w:hAnsiTheme="minorEastAsia" w:eastAsiaTheme="minorEastAsia" w:cstheme="minorEastAsia"/>
          <w:b w:val="0"/>
          <w:bCs/>
        </w:rPr>
        <w:t>1.总则</w:t>
      </w:r>
      <w:bookmarkEnd w:id="48"/>
      <w:bookmarkEnd w:id="49"/>
      <w:bookmarkEnd w:id="50"/>
      <w:bookmarkEnd w:id="51"/>
      <w:bookmarkEnd w:id="52"/>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bookmarkStart w:id="55" w:name="_Toc421284741"/>
      <w:r>
        <w:rPr>
          <w:rFonts w:hint="eastAsia" w:asciiTheme="minorEastAsia" w:hAnsiTheme="minorEastAsia" w:eastAsiaTheme="minorEastAsia" w:cstheme="minorEastAsia"/>
          <w:b/>
          <w:kern w:val="0"/>
          <w:sz w:val="24"/>
        </w:rPr>
        <w:t>1.1 招标概况</w:t>
      </w:r>
      <w:bookmarkEnd w:id="53"/>
      <w:bookmarkEnd w:id="55"/>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1.1.1根据根据《中华人民共和国政府采购法》、《中华人民共和国政府采购法实施条例》、《政府采购货物和服务招标投标管理办法》等有关法律、法规和规章的规定，本招标项目已具备招标条件，现对本项目进行公开招标。</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1.1.2本招标项目采购人：见投标人须知前附表。</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1.1.3本招标项目采购代理机构：见投标人须知前附表。</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1.1.4本招标项目名称和项目编号：见投标人须知前附表。</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1.2 资金来源</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1.2.1本招标项目预算资金：见投标人须知前附表。</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1.2.2本招标项目的资金来源：见投标人须知前附表。</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1.3 项目内容、期限和质量要求</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1.3.1本招标项目内容见第四章招标项目</w:t>
      </w:r>
      <w:r>
        <w:rPr>
          <w:rFonts w:hint="eastAsia" w:asciiTheme="minorEastAsia" w:hAnsiTheme="minorEastAsia" w:eastAsiaTheme="minorEastAsia" w:cstheme="minorEastAsia"/>
          <w:kern w:val="0"/>
          <w:szCs w:val="21"/>
          <w:lang w:eastAsia="zh-CN"/>
        </w:rPr>
        <w:t>采购内容</w:t>
      </w:r>
      <w:r>
        <w:rPr>
          <w:rFonts w:hint="eastAsia" w:asciiTheme="minorEastAsia" w:hAnsiTheme="minorEastAsia" w:eastAsiaTheme="minorEastAsia" w:cstheme="minorEastAsia"/>
          <w:kern w:val="0"/>
          <w:szCs w:val="21"/>
        </w:rPr>
        <w:t>及服务要求。</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1.3.2本招标项目</w:t>
      </w:r>
      <w:r>
        <w:rPr>
          <w:rFonts w:hint="eastAsia" w:asciiTheme="minorEastAsia" w:hAnsiTheme="minorEastAsia" w:eastAsiaTheme="minorEastAsia" w:cstheme="minorEastAsia"/>
          <w:szCs w:val="21"/>
        </w:rPr>
        <w:t>期限</w:t>
      </w:r>
      <w:r>
        <w:rPr>
          <w:rFonts w:hint="eastAsia" w:asciiTheme="minorEastAsia" w:hAnsiTheme="minorEastAsia" w:eastAsiaTheme="minorEastAsia" w:cstheme="minorEastAsia"/>
          <w:kern w:val="0"/>
          <w:szCs w:val="21"/>
        </w:rPr>
        <w:t>：见投标人须知前附表。</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1.3.3本招标项目质量要求：见投标人须知前附表。</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1.4 合格的投标人</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1.4.1供应商资格要求：见投标人须知前附表。</w:t>
      </w:r>
    </w:p>
    <w:p>
      <w:pPr>
        <w:pageBreakBefore w:val="0"/>
        <w:kinsoku/>
        <w:wordWrap/>
        <w:overflowPunct/>
        <w:topLinePunct w:val="0"/>
        <w:autoSpaceDE w:val="0"/>
        <w:autoSpaceDN w:val="0"/>
        <w:bidi w:val="0"/>
        <w:adjustRightInd w:val="0"/>
        <w:spacing w:line="500" w:lineRule="exact"/>
        <w:ind w:firstLine="525" w:firstLineChars="25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1.4.2联合体投标(不接受）。</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1.5 合格的货物和相关服务</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投标人的货物应当说明货物的来源地：如果投标的货物非投标人生产或制造的，是否应当提供制造厂商的授权书按照招标文件前附表的要求执行。</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1.6 保密</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参与招投标活动的各方应对招标文件和投标文件中的商业和技术等秘密保密，违者应对由此造成的后果承担法律责任。</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1.7 招标澄清、答疑会</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1.7.1 招标澄清、答疑会：不组织。</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1.7.2 采购人书面澄清的时间：见投标人须知前附表。</w:t>
      </w:r>
    </w:p>
    <w:p>
      <w:pPr>
        <w:pStyle w:val="2"/>
        <w:pageBreakBefore w:val="0"/>
        <w:numPr>
          <w:ilvl w:val="1"/>
          <w:numId w:val="0"/>
        </w:numPr>
        <w:kinsoku/>
        <w:wordWrap/>
        <w:overflowPunct/>
        <w:topLinePunct w:val="0"/>
        <w:bidi w:val="0"/>
        <w:spacing w:before="0" w:after="0" w:line="500" w:lineRule="exact"/>
        <w:ind w:left="468"/>
        <w:jc w:val="left"/>
        <w:textAlignment w:val="auto"/>
        <w:rPr>
          <w:rStyle w:val="70"/>
          <w:rFonts w:hint="eastAsia" w:asciiTheme="minorEastAsia" w:hAnsiTheme="minorEastAsia" w:eastAsiaTheme="minorEastAsia" w:cstheme="minorEastAsia"/>
          <w:b w:val="0"/>
          <w:bCs/>
        </w:rPr>
      </w:pPr>
      <w:bookmarkStart w:id="56" w:name="_Toc6324"/>
      <w:bookmarkStart w:id="57" w:name="_Toc421284742"/>
      <w:bookmarkStart w:id="58" w:name="_Toc5706"/>
      <w:bookmarkStart w:id="59" w:name="_Toc27148118"/>
      <w:bookmarkStart w:id="60" w:name="_Toc5872"/>
      <w:bookmarkStart w:id="61" w:name="_Toc15578"/>
      <w:r>
        <w:rPr>
          <w:rStyle w:val="70"/>
          <w:rFonts w:hint="eastAsia" w:asciiTheme="minorEastAsia" w:hAnsiTheme="minorEastAsia" w:eastAsiaTheme="minorEastAsia" w:cstheme="minorEastAsia"/>
          <w:b w:val="0"/>
          <w:bCs/>
        </w:rPr>
        <w:t>2.招标文件</w:t>
      </w:r>
      <w:bookmarkEnd w:id="56"/>
      <w:bookmarkEnd w:id="57"/>
      <w:bookmarkEnd w:id="58"/>
      <w:bookmarkEnd w:id="59"/>
      <w:bookmarkEnd w:id="60"/>
      <w:bookmarkEnd w:id="61"/>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2.1 招标文件的组成</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本招标文件包括：</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（1）招标公告；</w:t>
      </w:r>
    </w:p>
    <w:p>
      <w:pPr>
        <w:pageBreakBefore w:val="0"/>
        <w:numPr>
          <w:ilvl w:val="0"/>
          <w:numId w:val="5"/>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投标人须知及投标人须知前附表；</w:t>
      </w:r>
    </w:p>
    <w:p>
      <w:pPr>
        <w:pageBreakBefore w:val="0"/>
        <w:numPr>
          <w:ilvl w:val="0"/>
          <w:numId w:val="5"/>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评标标准和评标方法；</w:t>
      </w:r>
    </w:p>
    <w:p>
      <w:pPr>
        <w:pageBreakBefore w:val="0"/>
        <w:numPr>
          <w:ilvl w:val="0"/>
          <w:numId w:val="5"/>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招标项目技术参数及服务要求；</w:t>
      </w:r>
    </w:p>
    <w:p>
      <w:pPr>
        <w:pageBreakBefore w:val="0"/>
        <w:numPr>
          <w:ilvl w:val="0"/>
          <w:numId w:val="5"/>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合同签订及条款；</w:t>
      </w:r>
    </w:p>
    <w:p>
      <w:pPr>
        <w:pageBreakBefore w:val="0"/>
        <w:numPr>
          <w:ilvl w:val="0"/>
          <w:numId w:val="5"/>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投标文件格式。</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根据本章1.7款、第2.2款和第2.3款对招标文件所作的澄清、修改，构成招标文件的组成部分。</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    2.2 招标文件的澄清</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2.2.1 供应商应仔细阅读和检查招标文件的全部内容。</w:t>
      </w:r>
      <w:r>
        <w:rPr>
          <w:rFonts w:hint="eastAsia" w:asciiTheme="minorEastAsia" w:hAnsiTheme="minorEastAsia" w:eastAsiaTheme="minorEastAsia" w:cstheme="minorEastAsia"/>
          <w:szCs w:val="21"/>
        </w:rPr>
        <w:t>如发现缺页或附件不全，应及时向采购人提出，以便补齐。</w:t>
      </w:r>
      <w:r>
        <w:rPr>
          <w:rFonts w:hint="eastAsia" w:asciiTheme="minorEastAsia" w:hAnsiTheme="minorEastAsia" w:eastAsiaTheme="minorEastAsia" w:cstheme="minorEastAsia"/>
        </w:rPr>
        <w:t>如有疑问，应在投标人须知前附表规定的时间前以书面形式（包括信函、电报、传真等可以有形地表现所载内容的形式，下同），要求采购人对招标文件予以澄清。</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rPr>
        <w:t>2.2.2 招标文件的澄清将以书面形式发给所有购买招标文件的供应商，但不指明澄清问题的来源。如果澄清发出的时间距投标人须知前附表规定的投标截止时间不足15天，并且澄清内容影响投标文件编制的，将相应延长投标截止时间。</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2.2.3 供应商在收到澄清后，应在投标人须知前附表规定的时间内以书面形式通知采购人，确认已收到该澄清。</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2.3 招标文件的修改</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2.3.1 采购人可以书面形式修改招标文件，并通知所有已购买招标文件的供应商。但如果修改招标文件的时间距投标截止时间不足15天，并且修改内容影响投标文件编制的，将相应延长投标截止时间。</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2.3.2 供应商收到修改内容后，应在投标人须知前附表规定的时间内以书面形式通知采购人，确认已收到该修改。</w:t>
      </w:r>
    </w:p>
    <w:p>
      <w:pPr>
        <w:pStyle w:val="2"/>
        <w:pageBreakBefore w:val="0"/>
        <w:numPr>
          <w:ilvl w:val="1"/>
          <w:numId w:val="0"/>
        </w:numPr>
        <w:kinsoku/>
        <w:wordWrap/>
        <w:overflowPunct/>
        <w:topLinePunct w:val="0"/>
        <w:bidi w:val="0"/>
        <w:spacing w:before="0" w:after="0" w:line="500" w:lineRule="exact"/>
        <w:jc w:val="left"/>
        <w:textAlignment w:val="auto"/>
        <w:rPr>
          <w:rStyle w:val="70"/>
          <w:rFonts w:hint="eastAsia" w:asciiTheme="minorEastAsia" w:hAnsiTheme="minorEastAsia" w:eastAsiaTheme="minorEastAsia" w:cstheme="minorEastAsia"/>
          <w:b w:val="0"/>
          <w:bCs/>
        </w:rPr>
      </w:pPr>
      <w:bookmarkStart w:id="62" w:name="_Toc30689"/>
      <w:bookmarkStart w:id="63" w:name="_Toc421284743"/>
      <w:bookmarkStart w:id="64" w:name="_Toc27148119"/>
      <w:bookmarkStart w:id="65" w:name="_Toc23887"/>
      <w:bookmarkStart w:id="66" w:name="_Toc24882"/>
      <w:bookmarkStart w:id="67" w:name="_Toc21340"/>
      <w:r>
        <w:rPr>
          <w:rStyle w:val="70"/>
          <w:rFonts w:hint="eastAsia" w:asciiTheme="minorEastAsia" w:hAnsiTheme="minorEastAsia" w:eastAsiaTheme="minorEastAsia" w:cstheme="minorEastAsia"/>
          <w:b w:val="0"/>
          <w:bCs/>
        </w:rPr>
        <w:t>3.投标文件</w:t>
      </w:r>
      <w:bookmarkEnd w:id="62"/>
      <w:bookmarkEnd w:id="63"/>
      <w:bookmarkEnd w:id="64"/>
      <w:bookmarkEnd w:id="65"/>
      <w:bookmarkEnd w:id="66"/>
      <w:bookmarkEnd w:id="67"/>
    </w:p>
    <w:p>
      <w:pPr>
        <w:pageBreakBefore w:val="0"/>
        <w:kinsoku/>
        <w:wordWrap/>
        <w:overflowPunct/>
        <w:topLinePunct w:val="0"/>
        <w:autoSpaceDE w:val="0"/>
        <w:autoSpaceDN w:val="0"/>
        <w:bidi w:val="0"/>
        <w:adjustRightInd w:val="0"/>
        <w:spacing w:line="500" w:lineRule="exact"/>
        <w:ind w:firstLine="235" w:firstLineChars="98"/>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3.1 投标文件的组成</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3.1.1投标文件包括下列部分：</w:t>
      </w:r>
    </w:p>
    <w:p>
      <w:pPr>
        <w:pageBreakBefore w:val="0"/>
        <w:tabs>
          <w:tab w:val="left" w:pos="720"/>
        </w:tabs>
        <w:kinsoku/>
        <w:wordWrap/>
        <w:overflowPunct/>
        <w:topLinePunct w:val="0"/>
        <w:bidi w:val="0"/>
        <w:spacing w:line="500" w:lineRule="exact"/>
        <w:ind w:firstLine="42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投标文件组成</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（1）投标函</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（2）投标一览表</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（3）货物清单及报价明细表</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（4）技术</w:t>
      </w:r>
      <w:r>
        <w:rPr>
          <w:rFonts w:hint="eastAsia" w:asciiTheme="minorEastAsia" w:hAnsiTheme="minorEastAsia" w:eastAsiaTheme="minorEastAsia" w:cstheme="minorEastAsia"/>
          <w:bCs/>
          <w:kern w:val="0"/>
          <w:szCs w:val="21"/>
          <w:lang w:eastAsia="zh-CN"/>
        </w:rPr>
        <w:t>方案</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（5）法定代表人身份证明</w:t>
      </w:r>
    </w:p>
    <w:p>
      <w:pPr>
        <w:pageBreakBefore w:val="0"/>
        <w:kinsoku/>
        <w:wordWrap/>
        <w:overflowPunct/>
        <w:topLinePunct w:val="0"/>
        <w:autoSpaceDE w:val="0"/>
        <w:autoSpaceDN w:val="0"/>
        <w:bidi w:val="0"/>
        <w:adjustRightInd w:val="0"/>
        <w:spacing w:line="500" w:lineRule="exact"/>
        <w:ind w:firstLine="315" w:firstLineChars="15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（6）授权委托书</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（7）</w:t>
      </w:r>
      <w:r>
        <w:rPr>
          <w:rFonts w:hint="eastAsia" w:asciiTheme="minorEastAsia" w:hAnsiTheme="minorEastAsia" w:eastAsiaTheme="minorEastAsia" w:cstheme="minorEastAsia"/>
        </w:rPr>
        <w:t>供应商基本情况表</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（8）投标承诺函</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（9）企业业绩</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（10）无行贿犯罪承诺书</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（11）反商业贿赂承诺书</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（12）供应商资格证明文件</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（13）节</w:t>
      </w:r>
      <w:r>
        <w:rPr>
          <w:rFonts w:hint="eastAsia" w:asciiTheme="minorEastAsia" w:hAnsiTheme="minorEastAsia" w:eastAsiaTheme="minorEastAsia" w:cstheme="minorEastAsia"/>
          <w:szCs w:val="32"/>
        </w:rPr>
        <w:t>能产品、环境标志产品明细表</w:t>
      </w:r>
    </w:p>
    <w:p>
      <w:pPr>
        <w:pageBreakBefore w:val="0"/>
        <w:kinsoku/>
        <w:wordWrap/>
        <w:overflowPunct/>
        <w:topLinePunct w:val="0"/>
        <w:autoSpaceDE w:val="0"/>
        <w:autoSpaceDN w:val="0"/>
        <w:bidi w:val="0"/>
        <w:adjustRightInd w:val="0"/>
        <w:spacing w:line="500" w:lineRule="exact"/>
        <w:ind w:firstLine="210" w:firstLineChars="1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（14）供应商认为应提供的其他材料</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3.1.2招标文件中的每个分包，是项目招标不可拆分的最小投标单元，供应商必须按此分包编制投标文件，提交相应的文件资料，拆包投标将视为漏项或非实质性响应予以认定为投标无效。供应商如同时投标多包，可提交一套资质证明文件。</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3.2 投标截止时间和地点</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投标截止时间和地点：见投标人须知前附表。</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3.3 投标报价</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3.3.1 供应商应按照第七章投标文件格式完整地填写投标报价表和开标一览表等。</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3.3.2 除投标人须知前附表中说明并允许外，本项目只允许有一个报价，任何有选择的报价将不予接受。投标报价应包括供应商中标后为完成招标文件规定的全部工作而发生的设计、制造、采购、试验、运保、安装、调试、试运行、质量检测费以及伴随的其它服务费等的全部成本、保险、税金及利润，并考虑了应承担的风险及相关费用。其中设备报价应包含设备运抵工作现场并且在此过程中发生的全部税金、运费、运保费、交付前保管费用及各项相关费用。质保期内所需的备件应包含在投标报价中。</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3.3.3 供应商所报的投标价应是固定不变的，在其承诺的投标有效期内不得以任何理由予以变更。否则供应商以可选择的价格提交的投标文件将作为非响应性投标而予以拒绝。</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3.4 投标有效期</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3.4.1 投标有效期见投标人须知前附表。</w:t>
      </w:r>
    </w:p>
    <w:p>
      <w:pPr>
        <w:pageBreakBefore w:val="0"/>
        <w:tabs>
          <w:tab w:val="left" w:pos="7350"/>
        </w:tabs>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3.4.2 在投标有效期内，供应商不得要求撤销或修改其投标文件。</w:t>
      </w:r>
      <w:r>
        <w:rPr>
          <w:rFonts w:hint="eastAsia" w:asciiTheme="minorEastAsia" w:hAnsiTheme="minorEastAsia" w:eastAsiaTheme="minorEastAsia" w:cstheme="minorEastAsia"/>
          <w:kern w:val="0"/>
          <w:szCs w:val="21"/>
        </w:rPr>
        <w:tab/>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3.4.3 出现特殊情况需要延长投标有效期的，采购人以书面形式通知所有供应商延长投标有效期。供应商同意延长的，应相应延长其投标有效期，但不得要求或允许修改其投标文件；供应商拒绝延长的，其投标失效。</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3.5 投标保证金</w:t>
      </w:r>
    </w:p>
    <w:p>
      <w:pPr>
        <w:pageBreakBefore w:val="0"/>
        <w:numPr>
          <w:ilvl w:val="0"/>
          <w:numId w:val="6"/>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3.5.1 投标保证金采用投标承诺函的形式递交，格式见“第六章投标文件格式”。</w:t>
      </w:r>
    </w:p>
    <w:p>
      <w:pPr>
        <w:pageBreakBefore w:val="0"/>
        <w:numPr>
          <w:ilvl w:val="0"/>
          <w:numId w:val="6"/>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3.5.2 供应商有下列情形之一的，采购人有权取消其中标资格，并按规定给予相应处罚：</w:t>
      </w:r>
    </w:p>
    <w:p>
      <w:pPr>
        <w:pageBreakBefore w:val="0"/>
        <w:numPr>
          <w:ilvl w:val="0"/>
          <w:numId w:val="6"/>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（1）供应商在规定的投标有效期内撤销其投标文件；</w:t>
      </w:r>
    </w:p>
    <w:p>
      <w:pPr>
        <w:pageBreakBefore w:val="0"/>
        <w:numPr>
          <w:ilvl w:val="0"/>
          <w:numId w:val="6"/>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（2）中标人在收到中标通知书后，无正当理由拒签合同。</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3.6 资格审查资料</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3.6.1依据“投标人须知前附表”中的要求提交相应的资格证明文件，作为投标文件的一部分，以证明其有资格进行投标和有能力履行合同。</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3.6.2投标人须知前附表规定接受联合体投标的，</w:t>
      </w:r>
      <w:r>
        <w:rPr>
          <w:rFonts w:hint="eastAsia" w:asciiTheme="minorEastAsia" w:hAnsiTheme="minorEastAsia" w:eastAsiaTheme="minorEastAsia" w:cstheme="minorEastAsia"/>
          <w:szCs w:val="21"/>
        </w:rPr>
        <w:t>则联合体各方应分别提交投标文件、以及联合体协议，联合体协议应标明主办人。</w:t>
      </w:r>
    </w:p>
    <w:p>
      <w:pPr>
        <w:pageBreakBefore w:val="0"/>
        <w:tabs>
          <w:tab w:val="left" w:pos="720"/>
        </w:tabs>
        <w:kinsoku/>
        <w:wordWrap/>
        <w:overflowPunct/>
        <w:topLinePunct w:val="0"/>
        <w:bidi w:val="0"/>
        <w:snapToGrid w:val="0"/>
        <w:spacing w:line="500" w:lineRule="exac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3.7 投标文件的编制</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3.7.1投标文件应按本招标文件“投标文件格式”进行编写。</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3.7.2投标文件应当对招标文件规定的投标有效期、期限、质量要求、招标项目技术参数及服务要求等实质性内容作出响应。</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3.7.3投标文件应加盖供应商单位公章。投标文件应尽量避免涂改、行间插字或删除。如果出现上述情况，修改之处应加盖供应商单位公章或由供应商的法定代表人或其委托代理人签字确认。</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3.7.4 投标文件正本壹份，副本份数见投标人须知前附表。正本和副本的封面应清楚地标明“正本”或“副本”的字样。当副本和正本不一致时，以正本为准。</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3.7.5标文件的正本与副本应采用A4纸印刷分别装订成册，编制目录和页码，并不得采用活页装订。</w:t>
      </w:r>
    </w:p>
    <w:p>
      <w:pPr>
        <w:pageBreakBefore w:val="0"/>
        <w:kinsoku/>
        <w:wordWrap/>
        <w:overflowPunct/>
        <w:topLinePunct w:val="0"/>
        <w:autoSpaceDE w:val="0"/>
        <w:autoSpaceDN w:val="0"/>
        <w:bidi w:val="0"/>
        <w:adjustRightInd w:val="0"/>
        <w:spacing w:line="500" w:lineRule="exact"/>
        <w:ind w:firstLine="235" w:firstLineChars="98"/>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3.8 语言文字</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除专用术语外，与招标投标有关的语言均使用中文。必要时专业术语应附有中文注释。</w:t>
      </w:r>
    </w:p>
    <w:p>
      <w:pPr>
        <w:pageBreakBefore w:val="0"/>
        <w:kinsoku/>
        <w:wordWrap/>
        <w:overflowPunct/>
        <w:topLinePunct w:val="0"/>
        <w:autoSpaceDE w:val="0"/>
        <w:autoSpaceDN w:val="0"/>
        <w:bidi w:val="0"/>
        <w:adjustRightInd w:val="0"/>
        <w:spacing w:line="500" w:lineRule="exact"/>
        <w:ind w:firstLine="235" w:firstLineChars="98"/>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3.9 计量单位和货币</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所有计量单位均采用中华人民共和国法定计量单位。货币均采用人民币。</w:t>
      </w:r>
    </w:p>
    <w:p>
      <w:pPr>
        <w:pageBreakBefore w:val="0"/>
        <w:kinsoku/>
        <w:wordWrap/>
        <w:overflowPunct/>
        <w:topLinePunct w:val="0"/>
        <w:autoSpaceDE w:val="0"/>
        <w:autoSpaceDN w:val="0"/>
        <w:bidi w:val="0"/>
        <w:adjustRightInd w:val="0"/>
        <w:spacing w:line="500" w:lineRule="exact"/>
        <w:ind w:firstLine="235" w:firstLineChars="98"/>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3.10 踏勘现场</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3.10.1 投标人须知前附表规定组织踏勘现场的，采购人按投标人须知前附表规定的时间、地点组织供应商踏勘项目现场。</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3.10.2 供应商踏勘现场发生的费用自理。</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3.10.3 采购人在踏勘现场中介绍的情况，供供应商在编制投标文件时参考，采购人不对供应商据此作出的判断和决策负责。</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3.11 投标澄清会</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不召开</w:t>
      </w:r>
    </w:p>
    <w:p>
      <w:pPr>
        <w:pStyle w:val="2"/>
        <w:pageBreakBefore w:val="0"/>
        <w:numPr>
          <w:ilvl w:val="0"/>
          <w:numId w:val="7"/>
        </w:numPr>
        <w:kinsoku/>
        <w:wordWrap/>
        <w:overflowPunct/>
        <w:topLinePunct w:val="0"/>
        <w:bidi w:val="0"/>
        <w:spacing w:before="0" w:after="0" w:line="500" w:lineRule="exact"/>
        <w:ind w:left="180"/>
        <w:jc w:val="left"/>
        <w:textAlignment w:val="auto"/>
        <w:rPr>
          <w:rStyle w:val="70"/>
          <w:rFonts w:hint="eastAsia" w:asciiTheme="minorEastAsia" w:hAnsiTheme="minorEastAsia" w:eastAsiaTheme="minorEastAsia" w:cstheme="minorEastAsia"/>
          <w:b w:val="0"/>
          <w:bCs/>
        </w:rPr>
      </w:pPr>
      <w:bookmarkStart w:id="68" w:name="_Toc13410"/>
      <w:bookmarkStart w:id="69" w:name="_Toc421284744"/>
      <w:bookmarkStart w:id="70" w:name="_Toc4630"/>
      <w:bookmarkStart w:id="71" w:name="_Toc1664"/>
      <w:bookmarkStart w:id="72" w:name="_Toc27148120"/>
      <w:bookmarkStart w:id="73" w:name="_Toc12157"/>
      <w:r>
        <w:rPr>
          <w:rStyle w:val="70"/>
          <w:rFonts w:hint="eastAsia" w:asciiTheme="minorEastAsia" w:hAnsiTheme="minorEastAsia" w:eastAsiaTheme="minorEastAsia" w:cstheme="minorEastAsia"/>
          <w:b w:val="0"/>
          <w:bCs/>
        </w:rPr>
        <w:t>投标</w:t>
      </w:r>
      <w:bookmarkEnd w:id="68"/>
      <w:bookmarkEnd w:id="69"/>
      <w:bookmarkEnd w:id="70"/>
      <w:bookmarkEnd w:id="71"/>
      <w:bookmarkEnd w:id="72"/>
      <w:bookmarkEnd w:id="73"/>
    </w:p>
    <w:p>
      <w:pPr>
        <w:pStyle w:val="2"/>
        <w:pageBreakBefore w:val="0"/>
        <w:numPr>
          <w:ilvl w:val="1"/>
          <w:numId w:val="0"/>
        </w:numPr>
        <w:kinsoku/>
        <w:wordWrap/>
        <w:overflowPunct/>
        <w:topLinePunct w:val="0"/>
        <w:bidi w:val="0"/>
        <w:spacing w:before="0" w:after="0" w:line="500" w:lineRule="exact"/>
        <w:ind w:left="468"/>
        <w:jc w:val="left"/>
        <w:textAlignment w:val="auto"/>
        <w:rPr>
          <w:rFonts w:hint="eastAsia" w:asciiTheme="minorEastAsia" w:hAnsiTheme="minorEastAsia" w:eastAsiaTheme="minorEastAsia" w:cstheme="minorEastAsia"/>
          <w:bCs/>
          <w:sz w:val="24"/>
        </w:rPr>
      </w:pPr>
      <w:bookmarkStart w:id="74" w:name="_Toc23269"/>
      <w:bookmarkStart w:id="75" w:name="_Toc12322"/>
      <w:bookmarkStart w:id="76" w:name="_Toc488421818"/>
      <w:bookmarkStart w:id="77" w:name="_Toc27148121"/>
      <w:bookmarkStart w:id="78" w:name="_Toc4029"/>
      <w:bookmarkStart w:id="79" w:name="_Toc488422002"/>
      <w:bookmarkStart w:id="80" w:name="_Toc3543"/>
      <w:bookmarkStart w:id="81" w:name="_Toc1604"/>
      <w:bookmarkStart w:id="82" w:name="_Toc15149"/>
      <w:bookmarkStart w:id="83" w:name="_Toc488422601"/>
      <w:r>
        <w:rPr>
          <w:rFonts w:hint="eastAsia" w:asciiTheme="minorEastAsia" w:hAnsiTheme="minorEastAsia" w:eastAsiaTheme="minorEastAsia" w:cstheme="minorEastAsia"/>
          <w:bCs/>
          <w:sz w:val="24"/>
        </w:rPr>
        <w:t>4.1 投标文件的密封和标记</w:t>
      </w:r>
      <w:bookmarkEnd w:id="74"/>
      <w:bookmarkEnd w:id="75"/>
      <w:bookmarkEnd w:id="76"/>
      <w:bookmarkEnd w:id="77"/>
      <w:bookmarkEnd w:id="78"/>
      <w:bookmarkEnd w:id="79"/>
      <w:bookmarkEnd w:id="80"/>
      <w:bookmarkEnd w:id="81"/>
      <w:bookmarkEnd w:id="82"/>
      <w:bookmarkEnd w:id="83"/>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4.1.1 投标文件的正本与副本应采用左侧胶粘方式装订，不得采用活页夹等可随时拆换的方式装订，每页均须加盖供应商公章。</w:t>
      </w:r>
    </w:p>
    <w:p>
      <w:pPr>
        <w:pageBreakBefore w:val="0"/>
        <w:kinsoku/>
        <w:wordWrap/>
        <w:overflowPunct/>
        <w:topLinePunct w:val="0"/>
        <w:bidi w:val="0"/>
        <w:spacing w:line="500" w:lineRule="exact"/>
        <w:ind w:left="315" w:hanging="315" w:hangingChars="15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    4.1.2</w:t>
      </w:r>
      <w:r>
        <w:rPr>
          <w:rFonts w:hint="eastAsia" w:asciiTheme="minorEastAsia" w:hAnsiTheme="minorEastAsia" w:eastAsiaTheme="minorEastAsia" w:cstheme="minorEastAsia"/>
          <w:szCs w:val="21"/>
        </w:rPr>
        <w:t>投标文件的正本单独密封、副本整体密封、提供电子版1份，电子版单独密封。封套的封口处加盖供应商单位章并由供应商的法定代表人或其授权的代理人签字。</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投标文件封套上应写明正本、副本</w:t>
      </w:r>
      <w:r>
        <w:rPr>
          <w:rFonts w:hint="eastAsia" w:asciiTheme="minorEastAsia" w:hAnsiTheme="minorEastAsia" w:eastAsiaTheme="minorEastAsia" w:cstheme="minorEastAsia"/>
          <w:bCs/>
          <w:kern w:val="0"/>
          <w:szCs w:val="21"/>
          <w:lang w:eastAsia="zh-CN"/>
        </w:rPr>
        <w:t>、电子文档</w:t>
      </w:r>
      <w:r>
        <w:rPr>
          <w:rFonts w:hint="eastAsia" w:asciiTheme="minorEastAsia" w:hAnsiTheme="minorEastAsia" w:eastAsiaTheme="minorEastAsia" w:cstheme="minorEastAsia"/>
          <w:bCs/>
          <w:kern w:val="0"/>
          <w:szCs w:val="21"/>
        </w:rPr>
        <w:t>并写明以下内容：</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项目名称：                  </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项目编号：温交易【202</w:t>
      </w:r>
      <w:r>
        <w:rPr>
          <w:rFonts w:hint="eastAsia" w:asciiTheme="minorEastAsia" w:hAnsiTheme="minorEastAsia" w:eastAsiaTheme="minorEastAsia" w:cstheme="minorEastAsia"/>
          <w:kern w:val="0"/>
          <w:szCs w:val="21"/>
          <w:lang w:val="en-US" w:eastAsia="zh-CN"/>
        </w:rPr>
        <w:t>1</w:t>
      </w:r>
      <w:r>
        <w:rPr>
          <w:rFonts w:hint="eastAsia" w:asciiTheme="minorEastAsia" w:hAnsiTheme="minorEastAsia" w:eastAsiaTheme="minorEastAsia" w:cstheme="minorEastAsia"/>
          <w:kern w:val="0"/>
          <w:szCs w:val="21"/>
        </w:rPr>
        <w:t>】  号  温政采【202</w:t>
      </w:r>
      <w:r>
        <w:rPr>
          <w:rFonts w:hint="eastAsia" w:asciiTheme="minorEastAsia" w:hAnsiTheme="minorEastAsia" w:eastAsiaTheme="minorEastAsia" w:cstheme="minorEastAsia"/>
          <w:kern w:val="0"/>
          <w:szCs w:val="21"/>
          <w:lang w:val="en-US" w:eastAsia="zh-CN"/>
        </w:rPr>
        <w:t>1</w:t>
      </w:r>
      <w:r>
        <w:rPr>
          <w:rFonts w:hint="eastAsia" w:asciiTheme="minorEastAsia" w:hAnsiTheme="minorEastAsia" w:eastAsiaTheme="minorEastAsia" w:cstheme="minorEastAsia"/>
          <w:kern w:val="0"/>
          <w:szCs w:val="21"/>
        </w:rPr>
        <w:t>】  号</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投标人名称：                         </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投标人地址：                      </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  年  月  日  时  分前不得开启</w:t>
      </w:r>
    </w:p>
    <w:p>
      <w:pPr>
        <w:pageBreakBefore w:val="0"/>
        <w:widowControl/>
        <w:kinsoku/>
        <w:wordWrap/>
        <w:overflowPunct/>
        <w:topLinePunct w:val="0"/>
        <w:bidi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（本样式为参考样式，加写的标记不应改变投标文件的实质性内容）</w:t>
      </w:r>
    </w:p>
    <w:p>
      <w:pPr>
        <w:pageBreakBefore w:val="0"/>
        <w:widowControl/>
        <w:kinsoku/>
        <w:wordWrap/>
        <w:overflowPunct/>
        <w:topLinePunct w:val="0"/>
        <w:bidi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4.1.3 未按本章第 4.1.1 项要求密封的投标文件，采购人不予接受。</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4.2 投标文件的递交</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4.2.1 投标文件应在本章第3.2.1项规定的投标截止时间前递交。</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4.2.2 供应商递交文件的地点和方式：见投标人须知前附表。</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4.2.3 供应商所递交的投标文件不予退还。</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4.2.4 逾期送达的或者未送达指定地点的</w:t>
      </w:r>
      <w:r>
        <w:rPr>
          <w:rFonts w:hint="eastAsia" w:asciiTheme="minorEastAsia" w:hAnsiTheme="minorEastAsia" w:eastAsiaTheme="minorEastAsia" w:cstheme="minorEastAsia"/>
          <w:bCs/>
          <w:szCs w:val="21"/>
        </w:rPr>
        <w:t>投标文件</w:t>
      </w:r>
      <w:r>
        <w:rPr>
          <w:rFonts w:hint="eastAsia" w:asciiTheme="minorEastAsia" w:hAnsiTheme="minorEastAsia" w:eastAsiaTheme="minorEastAsia" w:cstheme="minorEastAsia"/>
          <w:kern w:val="0"/>
          <w:szCs w:val="21"/>
        </w:rPr>
        <w:t>，采购人不予受理。</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    4.3 投标文件的修改与撤回</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4.3.1 在本章第3.2项规定的投标截止时间前，供应商可以修改或撤回已递交的投标文件，但应以书面形式通知采购人，该通知须有经正式授权的投标方代表签字，同时应出具供应商法定代表人的授权书。</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4.3.2 修改的内容为投标文件的组成部分。修改的投标文件应按照本章第3条、第4条规定进行编制、密封、标记和递交，并标明“修改”字样。</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4.3.3 投标截止时间以后不得修改投标文件。</w:t>
      </w:r>
    </w:p>
    <w:p>
      <w:pPr>
        <w:pStyle w:val="2"/>
        <w:pageBreakBefore w:val="0"/>
        <w:numPr>
          <w:ilvl w:val="0"/>
          <w:numId w:val="7"/>
        </w:numPr>
        <w:kinsoku/>
        <w:wordWrap/>
        <w:overflowPunct/>
        <w:topLinePunct w:val="0"/>
        <w:bidi w:val="0"/>
        <w:spacing w:before="0" w:after="0" w:line="500" w:lineRule="exact"/>
        <w:ind w:left="180"/>
        <w:jc w:val="left"/>
        <w:textAlignment w:val="auto"/>
        <w:rPr>
          <w:rStyle w:val="70"/>
          <w:rFonts w:hint="eastAsia" w:asciiTheme="minorEastAsia" w:hAnsiTheme="minorEastAsia" w:eastAsiaTheme="minorEastAsia" w:cstheme="minorEastAsia"/>
          <w:b w:val="0"/>
          <w:bCs/>
        </w:rPr>
      </w:pPr>
      <w:bookmarkStart w:id="84" w:name="_Toc27148122"/>
      <w:bookmarkStart w:id="85" w:name="_Toc7608"/>
      <w:bookmarkStart w:id="86" w:name="_Toc421284745"/>
      <w:bookmarkStart w:id="87" w:name="_Toc10944"/>
      <w:bookmarkStart w:id="88" w:name="_Toc16455"/>
      <w:bookmarkStart w:id="89" w:name="_Toc30387"/>
      <w:r>
        <w:rPr>
          <w:rStyle w:val="70"/>
          <w:rFonts w:hint="eastAsia" w:asciiTheme="minorEastAsia" w:hAnsiTheme="minorEastAsia" w:eastAsiaTheme="minorEastAsia" w:cstheme="minorEastAsia"/>
          <w:b w:val="0"/>
          <w:bCs/>
        </w:rPr>
        <w:t>开标</w:t>
      </w:r>
      <w:bookmarkEnd w:id="84"/>
      <w:bookmarkEnd w:id="85"/>
      <w:bookmarkEnd w:id="86"/>
      <w:bookmarkEnd w:id="87"/>
      <w:bookmarkEnd w:id="88"/>
      <w:bookmarkEnd w:id="89"/>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5.1 开标时间、地点和方式</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采购人在本章投标人须知前附表规定的投标截止时间（开标时间）招标文件规定的地点开标。并邀请所有供应商的法定代表人（负责人）或其委托代理人参加。</w:t>
      </w:r>
    </w:p>
    <w:p>
      <w:pPr>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kern w:val="0"/>
          <w:sz w:val="24"/>
        </w:rPr>
        <w:t>5.</w:t>
      </w:r>
      <w:r>
        <w:rPr>
          <w:rFonts w:hint="eastAsia" w:asciiTheme="minorEastAsia" w:hAnsiTheme="minorEastAsia" w:eastAsiaTheme="minorEastAsia" w:cstheme="minorEastAsia"/>
          <w:b/>
          <w:sz w:val="24"/>
        </w:rPr>
        <w:t>2 投标人有下列情形之一的，采购人不予受理</w:t>
      </w:r>
    </w:p>
    <w:p>
      <w:pPr>
        <w:pageBreakBefore w:val="0"/>
        <w:kinsoku/>
        <w:wordWrap/>
        <w:overflowPunct/>
        <w:topLinePunct w:val="0"/>
        <w:bidi w:val="0"/>
        <w:spacing w:line="5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（1）投标文件逾期送达的或者未送达指定地点的；</w:t>
      </w:r>
    </w:p>
    <w:p>
      <w:pPr>
        <w:pageBreakBefore w:val="0"/>
        <w:kinsoku/>
        <w:wordWrap/>
        <w:overflowPunct/>
        <w:topLinePunct w:val="0"/>
        <w:bidi w:val="0"/>
        <w:spacing w:line="500" w:lineRule="exac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（2）未按招标文件要求密封的。</w:t>
      </w:r>
    </w:p>
    <w:p>
      <w:pPr>
        <w:pageBreakBefore w:val="0"/>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5.3 开标程序</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招标主持人按以下程序开标：</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宣布会议开始；</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宣布会场纪律；</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介绍出席开标会议的采购人与监督单位代表及各供应商；</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由供应商派代表互相查验投标文件密封情况；</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按签到的逆顺序进行唱标，供应商或监督单位代表如有异议当场提出；</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记录人将对开标过程进行记录，供应商签字确认，以存档备查；</w:t>
      </w:r>
    </w:p>
    <w:p>
      <w:pPr>
        <w:pageBreakBefore w:val="0"/>
        <w:numPr>
          <w:ilvl w:val="0"/>
          <w:numId w:val="8"/>
        </w:numPr>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开标会议结束，进入评标程序。</w:t>
      </w:r>
    </w:p>
    <w:p>
      <w:pPr>
        <w:pStyle w:val="2"/>
        <w:pageBreakBefore w:val="0"/>
        <w:numPr>
          <w:ilvl w:val="0"/>
          <w:numId w:val="7"/>
        </w:numPr>
        <w:kinsoku/>
        <w:wordWrap/>
        <w:overflowPunct/>
        <w:topLinePunct w:val="0"/>
        <w:bidi w:val="0"/>
        <w:spacing w:before="0" w:after="0" w:line="500" w:lineRule="exact"/>
        <w:ind w:left="180"/>
        <w:jc w:val="left"/>
        <w:textAlignment w:val="auto"/>
        <w:rPr>
          <w:rFonts w:hint="eastAsia" w:asciiTheme="minorEastAsia" w:hAnsiTheme="minorEastAsia" w:eastAsiaTheme="minorEastAsia" w:cstheme="minorEastAsia"/>
          <w:bCs/>
          <w:szCs w:val="32"/>
        </w:rPr>
      </w:pPr>
      <w:bookmarkStart w:id="90" w:name="_Toc27148123"/>
      <w:bookmarkStart w:id="91" w:name="_Toc23537"/>
      <w:bookmarkStart w:id="92" w:name="_Toc13325"/>
      <w:bookmarkStart w:id="93" w:name="_Toc421284746"/>
      <w:bookmarkStart w:id="94" w:name="_Toc32054"/>
      <w:bookmarkStart w:id="95" w:name="_Toc26003"/>
      <w:r>
        <w:rPr>
          <w:rFonts w:hint="eastAsia" w:asciiTheme="minorEastAsia" w:hAnsiTheme="minorEastAsia" w:eastAsiaTheme="minorEastAsia" w:cstheme="minorEastAsia"/>
          <w:bCs/>
          <w:szCs w:val="32"/>
        </w:rPr>
        <w:t>资格审查工作</w:t>
      </w:r>
      <w:bookmarkEnd w:id="90"/>
      <w:bookmarkEnd w:id="91"/>
    </w:p>
    <w:p>
      <w:pPr>
        <w:pStyle w:val="2"/>
        <w:pageBreakBefore w:val="0"/>
        <w:numPr>
          <w:ilvl w:val="1"/>
          <w:numId w:val="0"/>
        </w:numPr>
        <w:kinsoku/>
        <w:wordWrap/>
        <w:overflowPunct/>
        <w:topLinePunct w:val="0"/>
        <w:bidi w:val="0"/>
        <w:spacing w:before="0" w:after="0" w:line="500" w:lineRule="exact"/>
        <w:ind w:firstLine="105" w:firstLineChars="50"/>
        <w:jc w:val="left"/>
        <w:textAlignment w:val="auto"/>
        <w:rPr>
          <w:rFonts w:hint="eastAsia" w:asciiTheme="minorEastAsia" w:hAnsiTheme="minorEastAsia" w:eastAsiaTheme="minorEastAsia" w:cstheme="minorEastAsia"/>
          <w:bCs/>
          <w:szCs w:val="32"/>
        </w:rPr>
      </w:pPr>
      <w:bookmarkStart w:id="96" w:name="_Toc27148124"/>
      <w:bookmarkStart w:id="97" w:name="_Toc18888"/>
      <w:bookmarkStart w:id="98" w:name="_Toc18803"/>
      <w:bookmarkStart w:id="99" w:name="_Toc28722"/>
      <w:bookmarkStart w:id="100" w:name="_Toc18806"/>
      <w:r>
        <w:rPr>
          <w:rFonts w:hint="eastAsia" w:asciiTheme="minorEastAsia" w:hAnsiTheme="minorEastAsia" w:eastAsiaTheme="minorEastAsia" w:cstheme="minorEastAsia"/>
          <w:b w:val="0"/>
          <w:sz w:val="21"/>
          <w:szCs w:val="21"/>
        </w:rPr>
        <w:t>采购代理机构将根据招标内容和特点按规定组建资格审查小组，其成员由采购人代表或代理机构专职人员1人（含）以上单数组成，资格审查小组负责对供应商资格进行审查。</w:t>
      </w:r>
      <w:bookmarkEnd w:id="96"/>
      <w:bookmarkEnd w:id="97"/>
      <w:bookmarkEnd w:id="98"/>
      <w:bookmarkEnd w:id="99"/>
      <w:bookmarkEnd w:id="100"/>
    </w:p>
    <w:p>
      <w:pPr>
        <w:pStyle w:val="2"/>
        <w:pageBreakBefore w:val="0"/>
        <w:numPr>
          <w:ilvl w:val="0"/>
          <w:numId w:val="7"/>
        </w:numPr>
        <w:kinsoku/>
        <w:wordWrap/>
        <w:overflowPunct/>
        <w:topLinePunct w:val="0"/>
        <w:bidi w:val="0"/>
        <w:spacing w:before="0" w:after="0" w:line="500" w:lineRule="exact"/>
        <w:ind w:left="180"/>
        <w:jc w:val="left"/>
        <w:textAlignment w:val="auto"/>
        <w:rPr>
          <w:rFonts w:hint="eastAsia" w:asciiTheme="minorEastAsia" w:hAnsiTheme="minorEastAsia" w:eastAsiaTheme="minorEastAsia" w:cstheme="minorEastAsia"/>
        </w:rPr>
      </w:pPr>
      <w:bookmarkStart w:id="101" w:name="_Toc15665"/>
      <w:bookmarkStart w:id="102" w:name="_Toc27148125"/>
      <w:r>
        <w:rPr>
          <w:rStyle w:val="70"/>
          <w:rFonts w:hint="eastAsia" w:asciiTheme="minorEastAsia" w:hAnsiTheme="minorEastAsia" w:eastAsiaTheme="minorEastAsia" w:cstheme="minorEastAsia"/>
          <w:b w:val="0"/>
          <w:bCs/>
        </w:rPr>
        <w:t>评标</w:t>
      </w:r>
      <w:bookmarkEnd w:id="92"/>
      <w:bookmarkEnd w:id="93"/>
      <w:bookmarkEnd w:id="94"/>
      <w:bookmarkEnd w:id="95"/>
      <w:bookmarkEnd w:id="101"/>
      <w:bookmarkEnd w:id="102"/>
    </w:p>
    <w:p>
      <w:pPr>
        <w:pageBreakBefore w:val="0"/>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7.1 评标委员会</w:t>
      </w:r>
    </w:p>
    <w:p>
      <w:pPr>
        <w:pageBreakBefore w:val="0"/>
        <w:kinsoku/>
        <w:wordWrap/>
        <w:overflowPunct/>
        <w:topLinePunct w:val="0"/>
        <w:autoSpaceDE w:val="0"/>
        <w:autoSpaceDN w:val="0"/>
        <w:bidi w:val="0"/>
        <w:adjustRightInd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7.1.1评标由采购人依法组建的评标委员会负责。评标委员会由采购人代表及关技术、经济等方面的专家组成。评标委员会成员人数以及技术、经济等方面专家的确定方式见投标人须知前附表。</w:t>
      </w:r>
    </w:p>
    <w:p>
      <w:pPr>
        <w:pageBreakBefore w:val="0"/>
        <w:kinsoku/>
        <w:wordWrap/>
        <w:overflowPunct/>
        <w:topLinePunct w:val="0"/>
        <w:autoSpaceDE w:val="0"/>
        <w:autoSpaceDN w:val="0"/>
        <w:bidi w:val="0"/>
        <w:adjustRightInd w:val="0"/>
        <w:spacing w:line="500" w:lineRule="exac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    7.2 评标办法</w:t>
      </w:r>
    </w:p>
    <w:p>
      <w:pPr>
        <w:pageBreakBefore w:val="0"/>
        <w:kinsoku/>
        <w:wordWrap/>
        <w:overflowPunct/>
        <w:topLinePunct w:val="0"/>
        <w:autoSpaceDE w:val="0"/>
        <w:autoSpaceDN w:val="0"/>
        <w:bidi w:val="0"/>
        <w:adjustRightInd w:val="0"/>
        <w:spacing w:line="500" w:lineRule="exact"/>
        <w:ind w:left="-178" w:leftChars="-85"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7.2.1 评标办法见投标人须知前附表。</w:t>
      </w:r>
    </w:p>
    <w:p>
      <w:pPr>
        <w:pageBreakBefore w:val="0"/>
        <w:kinsoku/>
        <w:wordWrap/>
        <w:overflowPunct/>
        <w:topLinePunct w:val="0"/>
        <w:autoSpaceDE w:val="0"/>
        <w:autoSpaceDN w:val="0"/>
        <w:bidi w:val="0"/>
        <w:adjustRightInd w:val="0"/>
        <w:spacing w:line="500" w:lineRule="exact"/>
        <w:ind w:left="-178" w:leftChars="-85"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7.2.2 评标委员会按照本章第6.2.1项规定的评标办法和第三章“评标标准和评标方法”规定的评标因素、标准和程序对投标文件进行评审。第三章“评标标准和评标方法”没有规定的评审因素和标准，不作为评标依据。</w:t>
      </w:r>
    </w:p>
    <w:p>
      <w:pPr>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sz w:val="24"/>
        </w:rPr>
        <w:t>7.3</w:t>
      </w:r>
      <w:r>
        <w:rPr>
          <w:rFonts w:hint="eastAsia" w:asciiTheme="minorEastAsia" w:hAnsiTheme="minorEastAsia" w:eastAsiaTheme="minorEastAsia" w:cstheme="minorEastAsia"/>
          <w:kern w:val="0"/>
          <w:szCs w:val="21"/>
        </w:rPr>
        <w:t>在招标采购中，出现下列情形之一的，应予废标：</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7.3.1 符合专业条件的供应商或者对招标文件作实质响应的供应商不足三家的；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7.3.2 出现影响采购公正的违法、违规行为的；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7.3.3 投标人的报价均超过了采购预算，采购人不能支付的；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7.3.4 因重大变故，采购任务取消的。</w:t>
      </w:r>
    </w:p>
    <w:p>
      <w:pPr>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 w:val="24"/>
        </w:rPr>
        <w:t xml:space="preserve">7.4 </w:t>
      </w:r>
      <w:r>
        <w:rPr>
          <w:rFonts w:hint="eastAsia" w:asciiTheme="minorEastAsia" w:hAnsiTheme="minorEastAsia" w:eastAsiaTheme="minorEastAsia" w:cstheme="minorEastAsia"/>
          <w:kern w:val="0"/>
          <w:szCs w:val="21"/>
        </w:rPr>
        <w:t>废标后，除采购任务取消情形外，应当重新组织招标；需要采取其他方式采购的，应当在采购活动开始前获得温县人民政府采购监督管理部门或者政府有关部门批准。</w:t>
      </w:r>
    </w:p>
    <w:p>
      <w:pPr>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7.5 纪律和监督</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7.5.1 对采购人的纪律要求。采购人不得泄漏招标投标活动中应当保密的情况和资料，不得与供应商串通损害国家利益、社会公共利益或者他人合法权益。</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7.5.2 对供应商的纪律要求。供应商不得相互串通投标或者与采购人串通投标，不得向采购人或者评标委员会成员行贿谋取中标，不得以他人名义投标或者以其他方式弄虚作假骗取中标；供应商不得以任何方式干扰、影响评标工作。</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7.5.3 </w:t>
      </w:r>
      <w:r>
        <w:rPr>
          <w:rFonts w:hint="eastAsia" w:asciiTheme="minorEastAsia" w:hAnsiTheme="minorEastAsia" w:eastAsiaTheme="minorEastAsia" w:cstheme="minorEastAsia"/>
          <w:kern w:val="0"/>
          <w:szCs w:val="21"/>
        </w:rPr>
        <w:t>对评标委员会成员的纪律要求</w:t>
      </w:r>
      <w:r>
        <w:rPr>
          <w:rFonts w:hint="eastAsia" w:asciiTheme="minorEastAsia" w:hAnsiTheme="minorEastAsia" w:eastAsiaTheme="minorEastAsia" w:cstheme="minorEastAsia"/>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sz w:val="24"/>
        </w:rPr>
        <w:t xml:space="preserve">7.6 </w:t>
      </w:r>
      <w:r>
        <w:rPr>
          <w:rFonts w:hint="eastAsia" w:asciiTheme="minorEastAsia" w:hAnsiTheme="minorEastAsia" w:eastAsiaTheme="minorEastAsia" w:cstheme="minorEastAsia"/>
          <w:b/>
          <w:kern w:val="0"/>
          <w:sz w:val="24"/>
        </w:rPr>
        <w:t>对与评标活动有关的工作人员的纪律要求</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与评标活动有关</w:t>
      </w:r>
      <w:r>
        <w:rPr>
          <w:rFonts w:hint="eastAsia" w:asciiTheme="minorEastAsia" w:hAnsiTheme="minorEastAsia" w:eastAsiaTheme="minorEastAsia" w:cstheme="minorEastAsia"/>
          <w:szCs w:val="21"/>
        </w:rPr>
        <w:t>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ageBreakBefore w:val="0"/>
        <w:kinsoku/>
        <w:wordWrap/>
        <w:overflowPunct/>
        <w:topLinePunct w:val="0"/>
        <w:bidi w:val="0"/>
        <w:spacing w:line="500" w:lineRule="exac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rPr>
        <w:t>7.7 质疑和投诉</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7.7.1 供应商认为招标文件、招标采购过程和中标结果使自己的权益受到损害的，可以在知道或者应</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知其权益受到损害之日起七个工作日内，由供应商授权代表（或法人代表）携带身份证明材料，以书面形式向采购人或采购代理机构提出质疑，否则不予受理。</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7.7.2 质疑书内容应包括质疑的详细理由和依据，并提供有关证明资料。</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7.7.3 有下列情形之一的，视为无效质疑：</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（1）未在有效期限内提出质疑的；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（2）质疑未以书面形式提出的；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（3）所提交材料未明示属于质疑材料的；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（4）质疑书没有法定代表人签署本人姓名并加盖单位公章的；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（5）质疑书未提供有效联系人或联系方式的；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（6）质疑事项已经进入投诉或者行政复议或者诉讼程序的；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（7）质疑书未附相关证明材料，被视为无有效证据支持的。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（8）供应商对招标文件条款或技术参数有异议，未在开标前通过澄清或修改程序提出，并且供应商已</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经参与投标，而于开标后对招标文件提出质疑的；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（9）质疑书内容和格式不符合财政部发布的《质疑函范本》的；</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（10）数据电文(包括电报、电传、传真、电子数据交换和电子邮件)；</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（11）其它不符合受理条件的情形。</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7.7.4 采购人或采购代理机构在收到书面质疑后在规定时间内做出答复或相关处理决定，并以书面形</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式通知质疑供应商，但答复的内容不涉及商业秘密。</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7.7.5 质疑供应商对采购人、采购代理机构的答复不满意或者采购人、采购代理机构未在规定的时间</w:t>
      </w:r>
    </w:p>
    <w:p>
      <w:pPr>
        <w:pageBreakBefore w:val="0"/>
        <w:kinsoku/>
        <w:wordWrap/>
        <w:overflowPunct/>
        <w:topLinePunct w:val="0"/>
        <w:bidi w:val="0"/>
        <w:spacing w:line="500" w:lineRule="exact"/>
        <w:ind w:firstLine="420" w:firstLineChars="200"/>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内作出答复的，可以在答复期满后规定时间内向同级政府采购监督管理部门投诉。</w:t>
      </w:r>
    </w:p>
    <w:p>
      <w:pPr>
        <w:pStyle w:val="3"/>
        <w:pageBreakBefore w:val="0"/>
        <w:numPr>
          <w:ilvl w:val="0"/>
          <w:numId w:val="0"/>
        </w:numPr>
        <w:kinsoku/>
        <w:wordWrap/>
        <w:overflowPunct/>
        <w:topLinePunct w:val="0"/>
        <w:bidi w:val="0"/>
        <w:spacing w:before="0" w:after="0" w:line="500" w:lineRule="exact"/>
        <w:jc w:val="left"/>
        <w:textAlignment w:val="auto"/>
        <w:rPr>
          <w:rStyle w:val="70"/>
          <w:rFonts w:hint="eastAsia" w:asciiTheme="minorEastAsia" w:hAnsiTheme="minorEastAsia" w:eastAsiaTheme="minorEastAsia" w:cstheme="minorEastAsia"/>
          <w:b w:val="0"/>
          <w:sz w:val="24"/>
          <w:szCs w:val="24"/>
        </w:rPr>
      </w:pPr>
      <w:bookmarkStart w:id="103" w:name="_Toc421284747"/>
      <w:bookmarkStart w:id="104" w:name="_Toc30683"/>
      <w:bookmarkStart w:id="105" w:name="_Toc5803"/>
      <w:bookmarkStart w:id="106" w:name="_Toc27148126"/>
      <w:bookmarkStart w:id="107" w:name="_Toc23260"/>
      <w:bookmarkStart w:id="108" w:name="_Toc5160"/>
      <w:r>
        <w:rPr>
          <w:rStyle w:val="70"/>
          <w:rFonts w:hint="eastAsia" w:asciiTheme="minorEastAsia" w:hAnsiTheme="minorEastAsia" w:eastAsiaTheme="minorEastAsia" w:cstheme="minorEastAsia"/>
          <w:b w:val="0"/>
          <w:sz w:val="24"/>
          <w:szCs w:val="24"/>
        </w:rPr>
        <w:t>8.合同授予</w:t>
      </w:r>
      <w:bookmarkEnd w:id="103"/>
      <w:bookmarkEnd w:id="104"/>
      <w:bookmarkEnd w:id="105"/>
      <w:bookmarkEnd w:id="106"/>
      <w:bookmarkEnd w:id="107"/>
      <w:bookmarkEnd w:id="108"/>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 xml:space="preserve">    8.1 中标通知</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在本章第3.4款规定的投标有效期内，采购人在指定的网站公布中标结果，并以书面形式向中标人发出中标通知书，同时将中标结果通知未中标的供应商。</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8.2 履约担保</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8.2.1 中标人应按投标人须知前附表规定的金额、担保形式和招标文件的有关规定提交履约担保。</w:t>
      </w:r>
    </w:p>
    <w:p>
      <w:pPr>
        <w:pageBreakBefore w:val="0"/>
        <w:kinsoku/>
        <w:wordWrap/>
        <w:overflowPunct/>
        <w:topLinePunct w:val="0"/>
        <w:autoSpaceDE w:val="0"/>
        <w:autoSpaceDN w:val="0"/>
        <w:bidi w:val="0"/>
        <w:adjustRightInd w:val="0"/>
        <w:spacing w:line="500" w:lineRule="exact"/>
        <w:ind w:leftChars="-141" w:hanging="296" w:hangingChars="141"/>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8.2.2 中标人不能按本章第7.3.1项要求提交履约担保的，视为放弃中标；给采购人造成的损失的，中标人还应当予以赔偿。</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    8.3 签订合同</w:t>
      </w:r>
    </w:p>
    <w:p>
      <w:pPr>
        <w:pageBreakBefore w:val="0"/>
        <w:kinsoku/>
        <w:wordWrap/>
        <w:overflowPunct/>
        <w:topLinePunct w:val="0"/>
        <w:autoSpaceDE w:val="0"/>
        <w:autoSpaceDN w:val="0"/>
        <w:bidi w:val="0"/>
        <w:adjustRightInd w:val="0"/>
        <w:spacing w:line="500" w:lineRule="exact"/>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8.3.1 采购人和中标人应当自中标通知书发出之日起</w:t>
      </w:r>
      <w:r>
        <w:rPr>
          <w:rFonts w:hint="eastAsia" w:asciiTheme="minorEastAsia" w:hAnsiTheme="minorEastAsia" w:eastAsiaTheme="minorEastAsia" w:cstheme="minorEastAsia"/>
          <w:kern w:val="0"/>
          <w:szCs w:val="21"/>
          <w:lang w:val="en-US" w:eastAsia="zh-CN"/>
        </w:rPr>
        <w:t>15</w:t>
      </w:r>
      <w:r>
        <w:rPr>
          <w:rFonts w:hint="eastAsia" w:asciiTheme="minorEastAsia" w:hAnsiTheme="minorEastAsia" w:eastAsiaTheme="minorEastAsia" w:cstheme="minorEastAsia"/>
          <w:kern w:val="0"/>
          <w:szCs w:val="21"/>
        </w:rPr>
        <w:t>天内，根据招标文件和中标人的投标文件订立书面合同。中标人无正当理由拒签合同的，采购人取消其中标资格。给采购人造成的损失的，中标人还应当予以赔偿。</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8.3.2 发出中标通知书后，采购人无正当理由拒签合同的；给中标人造成损失的，还应当赔偿损失。</w:t>
      </w:r>
    </w:p>
    <w:p>
      <w:pPr>
        <w:pageBreakBefore w:val="0"/>
        <w:kinsoku/>
        <w:wordWrap/>
        <w:overflowPunct/>
        <w:topLinePunct w:val="0"/>
        <w:autoSpaceDE w:val="0"/>
        <w:autoSpaceDN w:val="0"/>
        <w:bidi w:val="0"/>
        <w:adjustRightInd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8.4 付款方式：</w:t>
      </w:r>
    </w:p>
    <w:p>
      <w:pPr>
        <w:pageBreakBefore w:val="0"/>
        <w:kinsoku/>
        <w:wordWrap/>
        <w:overflowPunct/>
        <w:topLinePunct w:val="0"/>
        <w:autoSpaceDE w:val="0"/>
        <w:autoSpaceDN w:val="0"/>
        <w:bidi w:val="0"/>
        <w:adjustRightInd w:val="0"/>
        <w:spacing w:line="500" w:lineRule="exact"/>
        <w:ind w:firstLine="420" w:firstLine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付款办法按第五章“合同条款”约定执行。</w:t>
      </w:r>
    </w:p>
    <w:p>
      <w:pPr>
        <w:pStyle w:val="3"/>
        <w:pageBreakBefore w:val="0"/>
        <w:numPr>
          <w:ilvl w:val="0"/>
          <w:numId w:val="0"/>
        </w:numPr>
        <w:kinsoku/>
        <w:wordWrap/>
        <w:overflowPunct/>
        <w:topLinePunct w:val="0"/>
        <w:bidi w:val="0"/>
        <w:spacing w:before="0" w:after="0" w:line="500" w:lineRule="exact"/>
        <w:jc w:val="left"/>
        <w:textAlignment w:val="auto"/>
        <w:rPr>
          <w:rFonts w:hint="eastAsia" w:asciiTheme="minorEastAsia" w:hAnsiTheme="minorEastAsia" w:eastAsiaTheme="minorEastAsia" w:cstheme="minorEastAsia"/>
          <w:color w:val="auto"/>
          <w:szCs w:val="21"/>
        </w:rPr>
      </w:pPr>
      <w:bookmarkStart w:id="109" w:name="_Toc27148127"/>
      <w:bookmarkStart w:id="110" w:name="_Toc26138"/>
      <w:r>
        <w:rPr>
          <w:rFonts w:hint="eastAsia" w:asciiTheme="minorEastAsia" w:hAnsiTheme="minorEastAsia" w:eastAsiaTheme="minorEastAsia" w:cstheme="minorEastAsia"/>
          <w:color w:val="auto"/>
          <w:kern w:val="0"/>
          <w:sz w:val="24"/>
          <w:szCs w:val="24"/>
        </w:rPr>
        <w:t>9.</w:t>
      </w:r>
      <w:r>
        <w:rPr>
          <w:rFonts w:hint="eastAsia" w:asciiTheme="minorEastAsia" w:hAnsiTheme="minorEastAsia" w:eastAsiaTheme="minorEastAsia" w:cstheme="minorEastAsia"/>
          <w:bCs/>
          <w:color w:val="auto"/>
          <w:kern w:val="0"/>
          <w:sz w:val="24"/>
          <w:szCs w:val="24"/>
        </w:rPr>
        <w:t>需</w:t>
      </w:r>
      <w:r>
        <w:rPr>
          <w:rFonts w:hint="eastAsia" w:asciiTheme="minorEastAsia" w:hAnsiTheme="minorEastAsia" w:eastAsiaTheme="minorEastAsia" w:cstheme="minorEastAsia"/>
          <w:color w:val="auto"/>
          <w:kern w:val="0"/>
          <w:sz w:val="24"/>
          <w:szCs w:val="24"/>
        </w:rPr>
        <w:t>要</w:t>
      </w:r>
      <w:r>
        <w:rPr>
          <w:rFonts w:hint="eastAsia" w:asciiTheme="minorEastAsia" w:hAnsiTheme="minorEastAsia" w:eastAsiaTheme="minorEastAsia" w:cstheme="minorEastAsia"/>
          <w:bCs/>
          <w:color w:val="auto"/>
          <w:kern w:val="0"/>
          <w:sz w:val="24"/>
          <w:shd w:val="clear" w:color="auto" w:fill="FFFFFF"/>
        </w:rPr>
        <w:t>落实的政府采购政策</w:t>
      </w:r>
      <w:bookmarkEnd w:id="109"/>
      <w:bookmarkEnd w:id="110"/>
    </w:p>
    <w:p>
      <w:pPr>
        <w:pageBreakBefore w:val="0"/>
        <w:kinsoku/>
        <w:wordWrap/>
        <w:overflowPunct/>
        <w:topLinePunct w:val="0"/>
        <w:bidi w:val="0"/>
        <w:spacing w:line="500" w:lineRule="exact"/>
        <w:ind w:left="420" w:left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促进中小型企业发展，必须执行《政府采购促进中小企业发展</w:t>
      </w:r>
      <w:r>
        <w:rPr>
          <w:rFonts w:hint="eastAsia" w:asciiTheme="minorEastAsia" w:hAnsiTheme="minorEastAsia" w:eastAsiaTheme="minorEastAsia" w:cstheme="minorEastAsia"/>
          <w:color w:val="auto"/>
          <w:szCs w:val="21"/>
          <w:lang w:eastAsia="zh-CN"/>
        </w:rPr>
        <w:t>管理</w:t>
      </w:r>
      <w:r>
        <w:rPr>
          <w:rFonts w:hint="eastAsia" w:asciiTheme="minorEastAsia" w:hAnsiTheme="minorEastAsia" w:eastAsiaTheme="minorEastAsia" w:cstheme="minorEastAsia"/>
          <w:color w:val="auto"/>
          <w:szCs w:val="21"/>
        </w:rPr>
        <w:t>办法》，对小型和微型企业产品的价格给予6%的扣除（监狱企业/残疾人福利性企业视同小型、微型企业），用扣除后的价格参与评审。参加政府采购活动的中小企业应当提供《中小企业声明函》，未填写中小企业声明函的在评标过程中不予认可，参加政府采购活动的残疾人福利性单位应当提供《残疾人福利性单位声明函》，未填写残疾人福利性单位声明函的在评标过程中不予认可。中标人如为小型和微型企业的，并在投标时填写了中小企业声明函，则需要在领取中标通知书时提供由相关政府部门出具的企业划型认定材料；中标人如为残疾人福利性企业的，并在投标时填写了残疾人福利性单位声明函，则需要在领取中标通知书时提供由相关政府部门出具的相关证明材料，若不能提供或提供的材料与投标时做出的声明不符，采购人有权取消该中标人的中标资格，并对因其造成的损失进行追责。</w:t>
      </w:r>
    </w:p>
    <w:p>
      <w:pPr>
        <w:pStyle w:val="3"/>
        <w:pageBreakBefore w:val="0"/>
        <w:numPr>
          <w:ilvl w:val="0"/>
          <w:numId w:val="0"/>
        </w:numPr>
        <w:kinsoku/>
        <w:wordWrap/>
        <w:overflowPunct/>
        <w:topLinePunct w:val="0"/>
        <w:bidi w:val="0"/>
        <w:spacing w:before="0" w:after="0" w:line="500" w:lineRule="exact"/>
        <w:jc w:val="left"/>
        <w:textAlignment w:val="auto"/>
        <w:rPr>
          <w:rStyle w:val="70"/>
          <w:rFonts w:hint="eastAsia" w:asciiTheme="minorEastAsia" w:hAnsiTheme="minorEastAsia" w:eastAsiaTheme="minorEastAsia" w:cstheme="minorEastAsia"/>
          <w:b/>
          <w:sz w:val="24"/>
          <w:szCs w:val="24"/>
        </w:rPr>
      </w:pPr>
      <w:bookmarkStart w:id="111" w:name="_Toc12542"/>
      <w:bookmarkStart w:id="112" w:name="_Toc9750"/>
      <w:bookmarkStart w:id="113" w:name="_Toc27148128"/>
      <w:bookmarkStart w:id="114" w:name="_Toc14381"/>
      <w:bookmarkStart w:id="115" w:name="_Toc421284749"/>
      <w:bookmarkStart w:id="116" w:name="_Toc30492"/>
      <w:r>
        <w:rPr>
          <w:rStyle w:val="70"/>
          <w:rFonts w:hint="eastAsia" w:asciiTheme="minorEastAsia" w:hAnsiTheme="minorEastAsia" w:eastAsiaTheme="minorEastAsia" w:cstheme="minorEastAsia"/>
          <w:b w:val="0"/>
          <w:bCs/>
          <w:sz w:val="24"/>
          <w:szCs w:val="24"/>
        </w:rPr>
        <w:t>10.</w:t>
      </w:r>
      <w:r>
        <w:rPr>
          <w:rFonts w:hint="eastAsia" w:asciiTheme="minorEastAsia" w:hAnsiTheme="minorEastAsia" w:eastAsiaTheme="minorEastAsia" w:cstheme="minorEastAsia"/>
          <w:bCs/>
          <w:kern w:val="0"/>
          <w:sz w:val="24"/>
          <w:szCs w:val="24"/>
        </w:rPr>
        <w:t>需</w:t>
      </w:r>
      <w:r>
        <w:rPr>
          <w:rFonts w:hint="eastAsia" w:asciiTheme="minorEastAsia" w:hAnsiTheme="minorEastAsia" w:eastAsiaTheme="minorEastAsia" w:cstheme="minorEastAsia"/>
          <w:kern w:val="0"/>
          <w:sz w:val="24"/>
          <w:szCs w:val="24"/>
        </w:rPr>
        <w:t>要补充的其他内容</w:t>
      </w:r>
      <w:bookmarkEnd w:id="111"/>
      <w:bookmarkEnd w:id="112"/>
      <w:bookmarkEnd w:id="113"/>
      <w:bookmarkEnd w:id="114"/>
      <w:bookmarkEnd w:id="115"/>
      <w:bookmarkEnd w:id="116"/>
    </w:p>
    <w:p>
      <w:pPr>
        <w:pageBreakBefore w:val="0"/>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10.1 费用承担</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（1）无论投标过程中的作法和结果如何，投标人应自行承担所有参与投标有关的全部费用，采购人和采购代理机构在任何情况下均无义务和责任承担上述费用。</w:t>
      </w:r>
    </w:p>
    <w:p>
      <w:pPr>
        <w:pageBreakBefore w:val="0"/>
        <w:kinsoku/>
        <w:wordWrap/>
        <w:overflowPunct/>
        <w:topLinePunct w:val="0"/>
        <w:autoSpaceDE w:val="0"/>
        <w:autoSpaceDN w:val="0"/>
        <w:bidi w:val="0"/>
        <w:adjustRightInd w:val="0"/>
        <w:spacing w:line="500" w:lineRule="exact"/>
        <w:ind w:firstLine="42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（2）招标代理服务费由中标人支付。</w:t>
      </w:r>
    </w:p>
    <w:p>
      <w:pPr>
        <w:pageBreakBefore w:val="0"/>
        <w:kinsoku/>
        <w:wordWrap/>
        <w:overflowPunct/>
        <w:topLinePunct w:val="0"/>
        <w:autoSpaceDE w:val="0"/>
        <w:autoSpaceDN w:val="0"/>
        <w:bidi w:val="0"/>
        <w:adjustRightInd w:val="0"/>
        <w:spacing w:line="500" w:lineRule="exact"/>
        <w:ind w:firstLine="42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（3）供应商与采购人签订合同后，将合同副本原件报采购代理机构备案。</w:t>
      </w:r>
    </w:p>
    <w:p>
      <w:pPr>
        <w:pageBreakBefore w:val="0"/>
        <w:kinsoku/>
        <w:wordWrap/>
        <w:overflowPunct/>
        <w:topLinePunct w:val="0"/>
        <w:bidi w:val="0"/>
        <w:spacing w:line="500" w:lineRule="exact"/>
        <w:ind w:firstLine="480" w:firstLineChars="200"/>
        <w:jc w:val="left"/>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10.2 解释权</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10.3免责条款</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10.3.1 招标文件的解释权归采购人所有，采购人有权在法律允许范围内调整本次招标活动的细节及保</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留最终解释权。</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10.3.2 采购人不受将合同授予任何投标人的约束，采购人有权接受任何一份投标文件的全部或部分内</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容。</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10.3.3 采购人向投标人提供的资料和数据，是采购人现有的能使投标人利用的资料，采购人对投标人</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由此而作出的推论、理解和结论概不负责。</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10.3.4 投标人应承担其现场考察、编制和提交投标文件有关的一切费用、损害和人身伤亡事故责任，</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不管投标结果如何，采购人对上述费用不负任何责任。</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10.3.5 采购人对投标人的失误不负任何责任，投标人应指定一名投标事务负责人，专门负责跟踪、接</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收、阅读和理解招标文件及随后收到的有关资料，向采购人发出质疑，检查投标文件，协助有关人员尽力克服各种投标失误。</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10.3.6 如果投标人实质上不符合投标资格，即使已购买招标文件、参加投标并缴纳各种费用，采购人</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可以随时取消其投标或中标资格，采购人对该投标人的一切损失不负任何责任。</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10.3.7 投标人提供的方案设计的安全性、可行性、经济性、合理性、真实性及合同履行承担相应的法</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律责任。</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10.3.8 构成本招标文件各个组成部分的文件，未经采购人书面同意，投标人不得擅自复印和用于非本</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招标项目所需的其他目的。采购人有权使用投标人投标文件中全部或者部分技术成果或技术方案。</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10.3.9 采购人与中标人签署设计合同后，采购人在该建设项目中拥有中标方案的使用权。中标人应保</w:t>
      </w:r>
    </w:p>
    <w:p>
      <w:pPr>
        <w:pageBreakBefore w:val="0"/>
        <w:kinsoku/>
        <w:wordWrap/>
        <w:overflowPunct/>
        <w:topLinePunct w:val="0"/>
        <w:autoSpaceDE w:val="0"/>
        <w:autoSpaceDN w:val="0"/>
        <w:bidi w:val="0"/>
        <w:adjustRightInd w:val="0"/>
        <w:spacing w:line="500" w:lineRule="exact"/>
        <w:ind w:left="16" w:leftChars="8"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护采购人使用其设计方案不能受到来自第三方的侵权诉讼或索赔，否则中标人应承担由此而产生的一切责任。</w:t>
      </w:r>
    </w:p>
    <w:p>
      <w:pPr>
        <w:pageBreakBefore w:val="0"/>
        <w:kinsoku/>
        <w:wordWrap/>
        <w:overflowPunct/>
        <w:topLinePunct w:val="0"/>
        <w:autoSpaceDE w:val="0"/>
        <w:autoSpaceDN w:val="0"/>
        <w:bidi w:val="0"/>
        <w:adjustRightInd w:val="0"/>
        <w:spacing w:line="500" w:lineRule="exact"/>
        <w:ind w:left="16" w:leftChars="8" w:firstLine="480" w:firstLineChars="200"/>
        <w:jc w:val="left"/>
        <w:textAlignment w:val="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 w:val="24"/>
        </w:rPr>
        <w:t>10.4</w:t>
      </w:r>
      <w:r>
        <w:rPr>
          <w:rFonts w:hint="eastAsia" w:asciiTheme="minorEastAsia" w:hAnsiTheme="minorEastAsia" w:eastAsiaTheme="minorEastAsia" w:cstheme="minorEastAsia"/>
          <w:b/>
          <w:kern w:val="0"/>
          <w:szCs w:val="21"/>
        </w:rPr>
        <w:t>本招标文件未尽事宜，按《中华人民共和国政府采购法》、《政府采购货物和服务招标投标管理办法》等法律法规的有关规定执行。</w:t>
      </w:r>
    </w:p>
    <w:p>
      <w:pPr>
        <w:pStyle w:val="27"/>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117" w:name="_Toc19848"/>
      <w:bookmarkStart w:id="118" w:name="_Toc5632"/>
      <w:r>
        <w:rPr>
          <w:rFonts w:hint="eastAsia" w:asciiTheme="minorEastAsia" w:hAnsiTheme="minorEastAsia" w:eastAsiaTheme="minorEastAsia" w:cstheme="minorEastAsia"/>
        </w:rPr>
        <w:t>第三章评标标准和评标方法</w:t>
      </w:r>
      <w:bookmarkEnd w:id="54"/>
      <w:bookmarkEnd w:id="117"/>
      <w:bookmarkEnd w:id="118"/>
    </w:p>
    <w:p>
      <w:pPr>
        <w:pStyle w:val="24"/>
        <w:spacing w:before="0" w:after="0" w:line="440" w:lineRule="exact"/>
        <w:jc w:val="left"/>
        <w:rPr>
          <w:rFonts w:hint="eastAsia" w:asciiTheme="minorEastAsia" w:hAnsiTheme="minorEastAsia" w:eastAsiaTheme="minorEastAsia" w:cstheme="minorEastAsia"/>
        </w:rPr>
      </w:pPr>
      <w:bookmarkStart w:id="119" w:name="_Toc8539"/>
      <w:bookmarkStart w:id="120" w:name="_Toc7610"/>
      <w:bookmarkStart w:id="121" w:name="_Toc6110"/>
      <w:bookmarkStart w:id="122" w:name="_Toc421284751"/>
      <w:bookmarkStart w:id="123" w:name="_Toc27148130"/>
      <w:bookmarkStart w:id="124" w:name="_Toc21327"/>
      <w:bookmarkStart w:id="125" w:name="_Toc388541206"/>
      <w:r>
        <w:rPr>
          <w:rFonts w:hint="eastAsia" w:asciiTheme="minorEastAsia" w:hAnsiTheme="minorEastAsia" w:eastAsiaTheme="minorEastAsia" w:cstheme="minorEastAsia"/>
        </w:rPr>
        <w:t>1.评标准则和评标方法</w:t>
      </w:r>
      <w:bookmarkEnd w:id="119"/>
      <w:bookmarkEnd w:id="120"/>
      <w:bookmarkEnd w:id="121"/>
      <w:bookmarkEnd w:id="122"/>
      <w:bookmarkEnd w:id="123"/>
      <w:bookmarkEnd w:id="124"/>
      <w:bookmarkEnd w:id="125"/>
    </w:p>
    <w:p>
      <w:pPr>
        <w:autoSpaceDE w:val="0"/>
        <w:autoSpaceDN w:val="0"/>
        <w:adjustRightInd w:val="0"/>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1.1评标过程将遵循“公平、公正、科学、择优”的原则进行。</w:t>
      </w:r>
    </w:p>
    <w:p>
      <w:pPr>
        <w:autoSpaceDE w:val="0"/>
        <w:autoSpaceDN w:val="0"/>
        <w:adjustRightInd w:val="0"/>
        <w:spacing w:line="440" w:lineRule="exact"/>
        <w:rPr>
          <w:rFonts w:hint="eastAsia" w:asciiTheme="minorEastAsia" w:hAnsiTheme="minorEastAsia" w:eastAsiaTheme="minorEastAsia" w:cstheme="minorEastAsia"/>
          <w:kern w:val="0"/>
          <w:szCs w:val="21"/>
        </w:rPr>
      </w:pPr>
      <w:bookmarkStart w:id="126" w:name="_Toc4231"/>
      <w:bookmarkStart w:id="127" w:name="_Toc9035"/>
      <w:bookmarkStart w:id="128" w:name="_Toc371425843"/>
      <w:bookmarkStart w:id="129" w:name="_Toc371423272"/>
      <w:bookmarkStart w:id="130" w:name="_Toc27273"/>
      <w:r>
        <w:rPr>
          <w:rFonts w:hint="eastAsia" w:asciiTheme="minorEastAsia" w:hAnsiTheme="minorEastAsia" w:eastAsiaTheme="minorEastAsia" w:cstheme="minorEastAsia"/>
          <w:szCs w:val="21"/>
        </w:rPr>
        <w:t>1.2评标将严格按照招标文</w:t>
      </w:r>
      <w:r>
        <w:rPr>
          <w:rFonts w:hint="eastAsia" w:asciiTheme="minorEastAsia" w:hAnsiTheme="minorEastAsia" w:eastAsiaTheme="minorEastAsia" w:cstheme="minorEastAsia"/>
          <w:kern w:val="0"/>
          <w:szCs w:val="21"/>
        </w:rPr>
        <w:t>件的要求和条件进行。</w:t>
      </w:r>
      <w:r>
        <w:rPr>
          <w:rFonts w:hint="eastAsia" w:asciiTheme="minorEastAsia" w:hAnsiTheme="minorEastAsia" w:eastAsiaTheme="minorEastAsia" w:cstheme="minorEastAsia"/>
          <w:szCs w:val="21"/>
        </w:rPr>
        <w:t>对所有供应商的投标评定都采用相同的程序和标准。</w:t>
      </w:r>
    </w:p>
    <w:p>
      <w:pPr>
        <w:autoSpaceDE w:val="0"/>
        <w:autoSpaceDN w:val="0"/>
        <w:adjustRightInd w:val="0"/>
        <w:spacing w:line="44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1.3反对不正当竞争，投标人不得串通投标，如有违反者按《中华人民共和国政府采购法》有关规定处理。</w:t>
      </w:r>
    </w:p>
    <w:p>
      <w:pPr>
        <w:pStyle w:val="2"/>
        <w:numPr>
          <w:ilvl w:val="1"/>
          <w:numId w:val="0"/>
        </w:numPr>
        <w:spacing w:before="0" w:after="0" w:line="440" w:lineRule="exact"/>
        <w:rPr>
          <w:rFonts w:hint="eastAsia" w:asciiTheme="minorEastAsia" w:hAnsiTheme="minorEastAsia" w:eastAsiaTheme="minorEastAsia" w:cstheme="minorEastAsia"/>
        </w:rPr>
      </w:pPr>
      <w:bookmarkStart w:id="131" w:name="_Toc388541207"/>
      <w:bookmarkStart w:id="132" w:name="_Toc21051"/>
      <w:bookmarkStart w:id="133" w:name="_Toc421284752"/>
      <w:bookmarkStart w:id="134" w:name="_Toc12985"/>
      <w:bookmarkStart w:id="135" w:name="_Toc27148131"/>
      <w:bookmarkStart w:id="136" w:name="_Toc14776"/>
      <w:bookmarkStart w:id="137" w:name="_Toc9507"/>
      <w:bookmarkStart w:id="138" w:name="_Toc380581853"/>
      <w:r>
        <w:rPr>
          <w:rFonts w:hint="eastAsia" w:asciiTheme="minorEastAsia" w:hAnsiTheme="minorEastAsia" w:eastAsiaTheme="minorEastAsia" w:cstheme="minorEastAsia"/>
        </w:rPr>
        <w:t>2.评审标准</w:t>
      </w:r>
      <w:bookmarkEnd w:id="126"/>
      <w:bookmarkEnd w:id="127"/>
      <w:bookmarkEnd w:id="128"/>
      <w:bookmarkEnd w:id="129"/>
      <w:bookmarkEnd w:id="130"/>
      <w:bookmarkEnd w:id="131"/>
      <w:bookmarkEnd w:id="132"/>
      <w:bookmarkEnd w:id="133"/>
      <w:bookmarkEnd w:id="134"/>
      <w:bookmarkEnd w:id="135"/>
      <w:bookmarkEnd w:id="136"/>
      <w:bookmarkEnd w:id="137"/>
      <w:bookmarkEnd w:id="138"/>
    </w:p>
    <w:p>
      <w:pPr>
        <w:autoSpaceDE w:val="0"/>
        <w:autoSpaceDN w:val="0"/>
        <w:adjustRightInd w:val="0"/>
        <w:spacing w:line="440" w:lineRule="exact"/>
        <w:ind w:firstLine="420" w:firstLineChars="200"/>
        <w:jc w:val="center"/>
        <w:rPr>
          <w:rFonts w:hint="eastAsia" w:asciiTheme="minorEastAsia" w:hAnsiTheme="minorEastAsia" w:eastAsiaTheme="minorEastAsia" w:cstheme="minorEastAsia"/>
          <w:b/>
          <w:szCs w:val="21"/>
        </w:rPr>
      </w:pPr>
      <w:bookmarkStart w:id="139" w:name="_Toc1062"/>
      <w:bookmarkStart w:id="140" w:name="_Toc23807"/>
      <w:bookmarkStart w:id="141" w:name="_Toc421284753"/>
      <w:r>
        <w:rPr>
          <w:rFonts w:hint="eastAsia" w:asciiTheme="minorEastAsia" w:hAnsiTheme="minorEastAsia" w:eastAsiaTheme="minorEastAsia" w:cstheme="minorEastAsia"/>
          <w:b/>
          <w:szCs w:val="21"/>
        </w:rPr>
        <w:t>2.1 初步评审标准</w:t>
      </w:r>
      <w:bookmarkEnd w:id="139"/>
      <w:bookmarkEnd w:id="140"/>
      <w:bookmarkEnd w:id="141"/>
    </w:p>
    <w:tbl>
      <w:tblPr>
        <w:tblStyle w:val="40"/>
        <w:tblW w:w="9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17"/>
        <w:gridCol w:w="3152"/>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135" w:type="dxa"/>
          </w:tcPr>
          <w:p>
            <w:pPr>
              <w:spacing w:line="440" w:lineRule="exact"/>
              <w:jc w:val="center"/>
              <w:rPr>
                <w:rFonts w:hint="eastAsia" w:asciiTheme="minorEastAsia" w:hAnsiTheme="minorEastAsia" w:eastAsiaTheme="minorEastAsia" w:cstheme="minorEastAsia"/>
                <w:b/>
                <w:bCs/>
                <w:szCs w:val="21"/>
              </w:rPr>
            </w:pPr>
            <w:bookmarkStart w:id="142" w:name="OLE_LINK4"/>
            <w:r>
              <w:rPr>
                <w:rFonts w:hint="eastAsia" w:asciiTheme="minorEastAsia" w:hAnsiTheme="minorEastAsia" w:eastAsiaTheme="minorEastAsia" w:cstheme="minorEastAsia"/>
                <w:b/>
                <w:bCs/>
                <w:kern w:val="0"/>
                <w:szCs w:val="21"/>
              </w:rPr>
              <w:t>审查主体</w:t>
            </w:r>
          </w:p>
        </w:tc>
        <w:tc>
          <w:tcPr>
            <w:tcW w:w="3569" w:type="dxa"/>
            <w:gridSpan w:val="2"/>
          </w:tcPr>
          <w:p>
            <w:pPr>
              <w:spacing w:line="44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w:t>
            </w:r>
          </w:p>
        </w:tc>
        <w:tc>
          <w:tcPr>
            <w:tcW w:w="5199" w:type="dxa"/>
          </w:tcPr>
          <w:p>
            <w:pPr>
              <w:spacing w:line="44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135" w:type="dxa"/>
            <w:vMerge w:val="restart"/>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资格审查小组</w:t>
            </w:r>
          </w:p>
        </w:tc>
        <w:tc>
          <w:tcPr>
            <w:tcW w:w="417" w:type="dxa"/>
            <w:vMerge w:val="restart"/>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w:t>
            </w:r>
          </w:p>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w:t>
            </w:r>
          </w:p>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标准</w:t>
            </w:r>
          </w:p>
          <w:p>
            <w:pPr>
              <w:spacing w:line="440" w:lineRule="exact"/>
              <w:jc w:val="center"/>
              <w:rPr>
                <w:rFonts w:hint="eastAsia" w:asciiTheme="minorEastAsia" w:hAnsiTheme="minorEastAsia" w:eastAsiaTheme="minorEastAsia" w:cstheme="minorEastAsia"/>
                <w:szCs w:val="21"/>
              </w:rPr>
            </w:pPr>
          </w:p>
        </w:tc>
        <w:tc>
          <w:tcPr>
            <w:tcW w:w="3152"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企业营业执照（副本）、税务登记证（副本）、组织机构代码证（副本）（或三证合一的营业执照）</w:t>
            </w:r>
          </w:p>
        </w:tc>
        <w:tc>
          <w:tcPr>
            <w:tcW w:w="5199"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具备有效的企业营业执照、税务登记证、组织机构代码证或三证合一的营业执照（原件）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法定代表人身份证明或授权委托书及被授权人本人身份证</w:t>
            </w:r>
          </w:p>
        </w:tc>
        <w:tc>
          <w:tcPr>
            <w:tcW w:w="5199" w:type="dxa"/>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法定代表人身份证明或授权委托书及被授权人本人身份证原件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参加政府采购活动前三年内无重大违法记录的书面声明</w:t>
            </w:r>
          </w:p>
        </w:tc>
        <w:tc>
          <w:tcPr>
            <w:tcW w:w="5199" w:type="dxa"/>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rPr>
                <w:rFonts w:hint="eastAsia" w:asciiTheme="minorEastAsia" w:hAnsiTheme="minorEastAsia" w:eastAsiaTheme="minorEastAsia" w:cstheme="minorEastAsia"/>
                <w:szCs w:val="21"/>
              </w:rPr>
            </w:pPr>
          </w:p>
        </w:tc>
        <w:tc>
          <w:tcPr>
            <w:tcW w:w="3152"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依法纳税凭证</w:t>
            </w:r>
          </w:p>
        </w:tc>
        <w:tc>
          <w:tcPr>
            <w:tcW w:w="5199" w:type="dxa"/>
            <w:vAlign w:val="center"/>
          </w:tcPr>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开标前六个月内任一个月依法缴纳税收的凭证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rPr>
                <w:rFonts w:hint="eastAsia" w:asciiTheme="minorEastAsia" w:hAnsiTheme="minorEastAsia" w:eastAsiaTheme="minorEastAsia" w:cstheme="minorEastAsia"/>
                <w:szCs w:val="21"/>
              </w:rPr>
            </w:pPr>
          </w:p>
        </w:tc>
        <w:tc>
          <w:tcPr>
            <w:tcW w:w="3152"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缴纳社会保障资金凭证</w:t>
            </w:r>
          </w:p>
        </w:tc>
        <w:tc>
          <w:tcPr>
            <w:tcW w:w="5199" w:type="dxa"/>
            <w:vAlign w:val="center"/>
          </w:tcPr>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开标前六个月内任一个月依法缴纳社会保障资金的证明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rPr>
                <w:rFonts w:hint="eastAsia" w:asciiTheme="minorEastAsia" w:hAnsiTheme="minorEastAsia" w:eastAsiaTheme="minorEastAsia" w:cstheme="minorEastAsia"/>
                <w:szCs w:val="21"/>
              </w:rPr>
            </w:pPr>
          </w:p>
        </w:tc>
        <w:tc>
          <w:tcPr>
            <w:tcW w:w="3152"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财务状况报告</w:t>
            </w:r>
          </w:p>
        </w:tc>
        <w:tc>
          <w:tcPr>
            <w:tcW w:w="5199"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财务状况报告（投标文件递交截止日期前十二个月内</w:t>
            </w:r>
          </w:p>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任一个月的资产负债表或损益表或年度财务会计报 表或会计事务所出具的审计报告）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417"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3152" w:type="dxa"/>
            <w:vAlign w:val="bottom"/>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无行贿犯罪承诺书</w:t>
            </w:r>
          </w:p>
        </w:tc>
        <w:tc>
          <w:tcPr>
            <w:tcW w:w="5199" w:type="dxa"/>
            <w:vAlign w:val="bottom"/>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符合第二章投标人须知前附表1.4.1规定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417"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3152" w:type="dxa"/>
            <w:vAlign w:val="bottom"/>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信誉要求</w:t>
            </w:r>
          </w:p>
        </w:tc>
        <w:tc>
          <w:tcPr>
            <w:tcW w:w="5199" w:type="dxa"/>
            <w:vAlign w:val="bottom"/>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符合第二章投标人须知前附表1.4.1规定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restart"/>
            <w:vAlign w:val="center"/>
          </w:tcPr>
          <w:p>
            <w:pPr>
              <w:jc w:val="center"/>
              <w:rPr>
                <w:rFonts w:hint="eastAsia" w:asciiTheme="minorEastAsia" w:hAnsiTheme="minorEastAsia" w:eastAsiaTheme="minorEastAsia" w:cstheme="minorEastAsia"/>
                <w:szCs w:val="21"/>
              </w:rPr>
            </w:pPr>
            <w:bookmarkStart w:id="143" w:name="OLE_LINK9"/>
            <w:bookmarkStart w:id="144" w:name="OLE_LINK10" w:colFirst="1" w:colLast="2"/>
            <w:r>
              <w:rPr>
                <w:rFonts w:hint="eastAsia" w:asciiTheme="minorEastAsia" w:hAnsiTheme="minorEastAsia" w:eastAsiaTheme="minorEastAsia" w:cstheme="minorEastAsia"/>
                <w:kern w:val="0"/>
                <w:szCs w:val="21"/>
              </w:rPr>
              <w:t>评标委员会</w:t>
            </w:r>
          </w:p>
          <w:bookmarkEnd w:id="143"/>
        </w:tc>
        <w:tc>
          <w:tcPr>
            <w:tcW w:w="417" w:type="dxa"/>
            <w:vMerge w:val="restart"/>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符合性评审标准</w:t>
            </w:r>
          </w:p>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投标函签字盖章</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由法定代表人或委托代理人签字并加盖单位公章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417"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投标文件格式</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135"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417" w:type="dxa"/>
            <w:vMerge w:val="continue"/>
            <w:vAlign w:val="center"/>
          </w:tcPr>
          <w:p>
            <w:pPr>
              <w:widowControl/>
              <w:spacing w:line="440" w:lineRule="exact"/>
              <w:jc w:val="left"/>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报价唯一</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只能有一个有效报价</w:t>
            </w:r>
          </w:p>
        </w:tc>
      </w:tr>
      <w:bookmark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bookmarkStart w:id="145" w:name="OLE_LINK11"/>
          </w:p>
          <w:bookmarkEnd w:id="145"/>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投标内容和技术标准</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符合第四章招标项目</w:t>
            </w:r>
            <w:r>
              <w:rPr>
                <w:rFonts w:hint="eastAsia" w:asciiTheme="minorEastAsia" w:hAnsiTheme="minorEastAsia" w:eastAsiaTheme="minorEastAsia" w:cstheme="minorEastAsia"/>
                <w:szCs w:val="21"/>
                <w:lang w:eastAsia="zh-CN"/>
              </w:rPr>
              <w:t>采购内容</w:t>
            </w:r>
            <w:r>
              <w:rPr>
                <w:rFonts w:hint="eastAsia" w:asciiTheme="minorEastAsia" w:hAnsiTheme="minorEastAsia" w:eastAsiaTheme="minorEastAsia" w:cstheme="minorEastAsia"/>
                <w:szCs w:val="21"/>
              </w:rPr>
              <w:t>及服务要求的规定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期限</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符合第二章投标人须知前附表1.3.2规定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质量要求</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只能有一个有效报价，且不能超过招标预算价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投标承诺函</w:t>
            </w:r>
          </w:p>
        </w:tc>
        <w:tc>
          <w:tcPr>
            <w:tcW w:w="5199"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3.5.1 项规定</w:t>
            </w:r>
          </w:p>
        </w:tc>
      </w:tr>
      <w:tr>
        <w:tblPrEx>
          <w:tblLayout w:type="fixed"/>
          <w:tblCellMar>
            <w:top w:w="0" w:type="dxa"/>
            <w:left w:w="108" w:type="dxa"/>
            <w:bottom w:w="0" w:type="dxa"/>
            <w:right w:w="108" w:type="dxa"/>
          </w:tblCellMar>
        </w:tblPrEx>
        <w:trPr>
          <w:trHeight w:val="454"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5199" w:type="dxa"/>
            <w:vAlign w:val="center"/>
          </w:tcPr>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投标文件递交截止日起</w:t>
            </w:r>
            <w:r>
              <w:rPr>
                <w:rFonts w:hint="eastAsia" w:asciiTheme="minorEastAsia" w:hAnsiTheme="minorEastAsia" w:eastAsiaTheme="minorEastAsia" w:cstheme="minorEastAsia"/>
                <w:szCs w:val="21"/>
                <w:u w:val="single"/>
              </w:rPr>
              <w:t>60</w:t>
            </w:r>
            <w:r>
              <w:rPr>
                <w:rFonts w:hint="eastAsia" w:asciiTheme="minorEastAsia" w:hAnsiTheme="minorEastAsia" w:eastAsiaTheme="minorEastAsia" w:cstheme="minorEastAsia"/>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exact"/>
          <w:jc w:val="center"/>
        </w:trPr>
        <w:tc>
          <w:tcPr>
            <w:tcW w:w="1135"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417" w:type="dxa"/>
            <w:vMerge w:val="continue"/>
            <w:vAlign w:val="center"/>
          </w:tcPr>
          <w:p>
            <w:pPr>
              <w:spacing w:line="440" w:lineRule="exact"/>
              <w:jc w:val="center"/>
              <w:rPr>
                <w:rFonts w:hint="eastAsia" w:asciiTheme="minorEastAsia" w:hAnsiTheme="minorEastAsia" w:eastAsiaTheme="minorEastAsia" w:cstheme="minorEastAsia"/>
                <w:szCs w:val="21"/>
              </w:rPr>
            </w:pPr>
          </w:p>
        </w:tc>
        <w:tc>
          <w:tcPr>
            <w:tcW w:w="3152" w:type="dxa"/>
            <w:vAlign w:val="center"/>
          </w:tcPr>
          <w:p>
            <w:pPr>
              <w:spacing w:line="44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投标文件的其他响应</w:t>
            </w:r>
          </w:p>
        </w:tc>
        <w:tc>
          <w:tcPr>
            <w:tcW w:w="5199" w:type="dxa"/>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符合法律、法规和招标文件中规定的其他实质性要求的</w:t>
            </w:r>
          </w:p>
        </w:tc>
      </w:tr>
      <w:bookmarkEnd w:id="142"/>
    </w:tbl>
    <w:p>
      <w:pPr>
        <w:pStyle w:val="2"/>
        <w:numPr>
          <w:ilvl w:val="1"/>
          <w:numId w:val="0"/>
        </w:numPr>
        <w:spacing w:line="440" w:lineRule="exact"/>
        <w:ind w:left="180"/>
        <w:rPr>
          <w:rFonts w:hint="eastAsia" w:asciiTheme="minorEastAsia" w:hAnsiTheme="minorEastAsia" w:eastAsiaTheme="minorEastAsia" w:cstheme="minorEastAsia"/>
          <w:sz w:val="21"/>
          <w:szCs w:val="21"/>
        </w:rPr>
      </w:pPr>
      <w:bookmarkStart w:id="146" w:name="_Toc4213"/>
      <w:bookmarkStart w:id="147" w:name="_Toc27148132"/>
      <w:bookmarkStart w:id="148" w:name="_Toc31569"/>
      <w:r>
        <w:rPr>
          <w:rFonts w:hint="eastAsia" w:asciiTheme="minorEastAsia" w:hAnsiTheme="minorEastAsia" w:eastAsiaTheme="minorEastAsia" w:cstheme="minorEastAsia"/>
          <w:sz w:val="21"/>
          <w:szCs w:val="21"/>
        </w:rPr>
        <w:t>2.2评分标准：分值构成：总分 100 分。其中：投标报价：</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 分，技术部分：</w:t>
      </w:r>
      <w:r>
        <w:rPr>
          <w:rFonts w:hint="eastAsia" w:asciiTheme="minorEastAsia" w:hAnsiTheme="minorEastAsia" w:eastAsiaTheme="minorEastAsia" w:cstheme="minorEastAsia"/>
          <w:sz w:val="21"/>
          <w:szCs w:val="21"/>
          <w:lang w:val="en-US" w:eastAsia="zh-CN"/>
        </w:rPr>
        <w:t>60</w:t>
      </w:r>
      <w:r>
        <w:rPr>
          <w:rFonts w:hint="eastAsia" w:asciiTheme="minorEastAsia" w:hAnsiTheme="minorEastAsia" w:eastAsiaTheme="minorEastAsia" w:cstheme="minorEastAsia"/>
          <w:sz w:val="21"/>
          <w:szCs w:val="21"/>
        </w:rPr>
        <w:t>分，商务部分：</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bookmarkEnd w:id="146"/>
      <w:bookmarkEnd w:id="147"/>
      <w:bookmarkStart w:id="149" w:name="_Toc8579"/>
      <w:bookmarkStart w:id="150" w:name="_Toc27148133"/>
    </w:p>
    <w:p>
      <w:pPr>
        <w:pStyle w:val="2"/>
        <w:numPr>
          <w:ilvl w:val="1"/>
          <w:numId w:val="0"/>
        </w:numPr>
        <w:spacing w:line="440" w:lineRule="exact"/>
        <w:ind w:left="180"/>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评分标准</w:t>
      </w:r>
    </w:p>
    <w:tbl>
      <w:tblPr>
        <w:tblStyle w:val="40"/>
        <w:tblW w:w="10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004"/>
        <w:gridCol w:w="1050"/>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3" w:type="dxa"/>
            <w:vAlign w:val="center"/>
          </w:tcPr>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类别</w:t>
            </w:r>
          </w:p>
        </w:tc>
        <w:tc>
          <w:tcPr>
            <w:tcW w:w="2004" w:type="dxa"/>
            <w:vAlign w:val="center"/>
          </w:tcPr>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评审因素</w:t>
            </w:r>
          </w:p>
        </w:tc>
        <w:tc>
          <w:tcPr>
            <w:tcW w:w="1050" w:type="dxa"/>
            <w:vAlign w:val="center"/>
          </w:tcPr>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分值</w:t>
            </w:r>
          </w:p>
        </w:tc>
        <w:tc>
          <w:tcPr>
            <w:tcW w:w="5750" w:type="dxa"/>
            <w:vAlign w:val="center"/>
          </w:tcPr>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1273"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投标报价（</w:t>
            </w:r>
            <w:r>
              <w:rPr>
                <w:rFonts w:hint="eastAsia" w:asciiTheme="minorEastAsia" w:hAnsiTheme="minorEastAsia" w:eastAsiaTheme="minorEastAsia" w:cstheme="minorEastAsia"/>
                <w:b/>
                <w:sz w:val="24"/>
                <w:szCs w:val="24"/>
                <w:highlight w:val="none"/>
                <w:lang w:val="en-US" w:eastAsia="zh-CN"/>
              </w:rPr>
              <w:t>3</w:t>
            </w:r>
            <w:r>
              <w:rPr>
                <w:rFonts w:hint="eastAsia" w:asciiTheme="minorEastAsia" w:hAnsiTheme="minorEastAsia" w:eastAsiaTheme="minorEastAsia" w:cstheme="minorEastAsia"/>
                <w:b/>
                <w:sz w:val="24"/>
                <w:szCs w:val="24"/>
                <w:highlight w:val="none"/>
              </w:rPr>
              <w:t>0分）</w:t>
            </w:r>
          </w:p>
        </w:tc>
        <w:tc>
          <w:tcPr>
            <w:tcW w:w="2004"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报价得分</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3</w:t>
            </w:r>
            <w:r>
              <w:rPr>
                <w:rFonts w:hint="eastAsia" w:asciiTheme="minorEastAsia" w:hAnsiTheme="minorEastAsia" w:eastAsiaTheme="minorEastAsia" w:cstheme="minorEastAsia"/>
                <w:b/>
                <w:sz w:val="24"/>
                <w:szCs w:val="24"/>
                <w:highlight w:val="none"/>
              </w:rPr>
              <w:t>0分</w:t>
            </w:r>
          </w:p>
        </w:tc>
        <w:tc>
          <w:tcPr>
            <w:tcW w:w="5750" w:type="dxa"/>
          </w:tcPr>
          <w:p>
            <w:pPr>
              <w:autoSpaceDE w:val="0"/>
              <w:autoSpaceDN w:val="0"/>
              <w:spacing w:line="360" w:lineRule="auto"/>
              <w:rPr>
                <w:rFonts w:hint="eastAsia" w:ascii="Times New Roman" w:hAnsi="Times New Roman" w:cs="Times New Roman"/>
                <w:szCs w:val="22"/>
              </w:rPr>
            </w:pPr>
            <w:r>
              <w:rPr>
                <w:rFonts w:hint="eastAsia" w:ascii="Times New Roman" w:hAnsi="Times New Roman" w:cs="Times New Roman"/>
                <w:szCs w:val="22"/>
              </w:rPr>
              <w:t>价格分统一采用低价优先法计算，即满足招标文件要求且投标价格最低的投标报价为评标基准价，其价格分为满分。</w:t>
            </w:r>
          </w:p>
          <w:p>
            <w:pPr>
              <w:autoSpaceDE w:val="0"/>
              <w:autoSpaceDN w:val="0"/>
              <w:spacing w:line="360" w:lineRule="auto"/>
              <w:rPr>
                <w:rFonts w:hint="eastAsia" w:ascii="Times New Roman" w:hAnsi="Times New Roman" w:cs="Times New Roman"/>
                <w:szCs w:val="22"/>
              </w:rPr>
            </w:pPr>
            <w:r>
              <w:rPr>
                <w:rFonts w:hint="eastAsia" w:ascii="Times New Roman" w:hAnsi="Times New Roman" w:cs="Times New Roman"/>
                <w:szCs w:val="22"/>
              </w:rPr>
              <w:t>其他投标人的价格分统一按照下列公式计算：</w:t>
            </w:r>
          </w:p>
          <w:p>
            <w:pPr>
              <w:autoSpaceDE w:val="0"/>
              <w:autoSpaceDN w:val="0"/>
              <w:spacing w:line="360" w:lineRule="auto"/>
              <w:rPr>
                <w:rFonts w:hint="eastAsia"/>
              </w:rPr>
            </w:pPr>
            <w:r>
              <w:rPr>
                <w:rFonts w:hint="eastAsia" w:ascii="Times New Roman" w:hAnsi="Times New Roman" w:cs="Times New Roman"/>
                <w:szCs w:val="22"/>
              </w:rPr>
              <w:t>投标报价得分=（评标基准价/投标报价）×</w:t>
            </w:r>
            <w:r>
              <w:rPr>
                <w:rFonts w:hint="eastAsia" w:cs="Times New Roman"/>
                <w:szCs w:val="22"/>
                <w:lang w:val="en-US" w:eastAsia="zh-CN"/>
              </w:rPr>
              <w:t>3</w:t>
            </w:r>
            <w:r>
              <w:rPr>
                <w:rFonts w:hint="eastAsia" w:ascii="Times New Roman" w:hAnsi="Times New Roman" w:cs="Times New Roman"/>
                <w:szCs w:val="22"/>
                <w:lang w:val="en-US" w:eastAsia="zh-CN"/>
              </w:rPr>
              <w:t>0（</w:t>
            </w:r>
            <w:r>
              <w:rPr>
                <w:rFonts w:hint="eastAsia" w:ascii="Times New Roman" w:hAnsi="Times New Roman" w:cs="Times New Roman"/>
                <w:szCs w:val="22"/>
              </w:rPr>
              <w:t>小数点后保留两位，第三位四舍五入。</w:t>
            </w:r>
            <w:r>
              <w:rPr>
                <w:rFonts w:hint="eastAsia" w:ascii="Times New Roman" w:hAnsi="Times New Roman" w:cs="Times New Roman"/>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restart"/>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技术得分</w:t>
            </w:r>
          </w:p>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sz w:val="24"/>
                <w:szCs w:val="24"/>
                <w:highlight w:val="none"/>
                <w:lang w:val="en-US" w:eastAsia="zh-CN"/>
              </w:rPr>
              <w:t>60</w:t>
            </w:r>
            <w:r>
              <w:rPr>
                <w:rFonts w:hint="eastAsia" w:asciiTheme="minorEastAsia" w:hAnsiTheme="minorEastAsia" w:eastAsiaTheme="minorEastAsia" w:cstheme="minorEastAsia"/>
                <w:b/>
                <w:sz w:val="24"/>
                <w:szCs w:val="24"/>
                <w:highlight w:val="none"/>
              </w:rPr>
              <w:t>分）</w:t>
            </w:r>
          </w:p>
        </w:tc>
        <w:tc>
          <w:tcPr>
            <w:tcW w:w="2004" w:type="dxa"/>
            <w:vAlign w:val="center"/>
          </w:tcPr>
          <w:p>
            <w:pPr>
              <w:autoSpaceDE w:val="0"/>
              <w:autoSpaceDN w:val="0"/>
              <w:spacing w:line="360" w:lineRule="auto"/>
              <w:jc w:val="center"/>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文化主题的策划</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0-7</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Fonts w:hint="eastAsia" w:asciiTheme="minorEastAsia" w:hAnsiTheme="minorEastAsia" w:eastAsiaTheme="minorEastAsia" w:cstheme="minorEastAsia"/>
                <w:sz w:val="24"/>
                <w:szCs w:val="24"/>
                <w:highlight w:val="none"/>
              </w:rPr>
            </w:pPr>
            <w:r>
              <w:rPr>
                <w:rStyle w:val="69"/>
                <w:rFonts w:hint="eastAsia" w:ascii="宋体" w:hAnsi="宋体"/>
                <w:b w:val="0"/>
                <w:sz w:val="21"/>
                <w:szCs w:val="21"/>
                <w:lang w:eastAsia="zh-CN"/>
              </w:rPr>
              <w:t>整体文化</w:t>
            </w:r>
            <w:r>
              <w:rPr>
                <w:rStyle w:val="69"/>
                <w:rFonts w:hint="eastAsia" w:ascii="宋体" w:hAnsi="宋体"/>
                <w:b w:val="0"/>
                <w:sz w:val="21"/>
                <w:szCs w:val="21"/>
                <w:lang w:val="en-US" w:eastAsia="zh-CN"/>
              </w:rPr>
              <w:t>主题的</w:t>
            </w:r>
            <w:r>
              <w:rPr>
                <w:rStyle w:val="69"/>
                <w:rFonts w:hint="eastAsia" w:ascii="宋体" w:hAnsi="宋体"/>
                <w:b w:val="0"/>
                <w:sz w:val="21"/>
                <w:szCs w:val="21"/>
                <w:lang w:eastAsia="zh-CN"/>
              </w:rPr>
              <w:t>策划合理、每层楼文化内容主题鲜明。策划内容完全符合要求的得</w:t>
            </w:r>
            <w:r>
              <w:rPr>
                <w:rStyle w:val="69"/>
                <w:rFonts w:hint="eastAsia" w:ascii="宋体" w:hAnsi="宋体"/>
                <w:b w:val="0"/>
                <w:sz w:val="21"/>
                <w:szCs w:val="21"/>
                <w:lang w:val="en-US" w:eastAsia="zh-CN"/>
              </w:rPr>
              <w:t>7</w:t>
            </w:r>
            <w:r>
              <w:rPr>
                <w:rStyle w:val="69"/>
                <w:rFonts w:ascii="宋体" w:hAnsi="宋体"/>
                <w:b w:val="0"/>
                <w:sz w:val="21"/>
                <w:szCs w:val="21"/>
              </w:rPr>
              <w:t>分，</w:t>
            </w:r>
            <w:r>
              <w:rPr>
                <w:rStyle w:val="69"/>
                <w:rFonts w:hint="eastAsia" w:ascii="宋体" w:hAnsi="宋体"/>
                <w:b w:val="0"/>
                <w:sz w:val="21"/>
                <w:szCs w:val="21"/>
              </w:rPr>
              <w:t>基本符合要求得</w:t>
            </w:r>
            <w:r>
              <w:rPr>
                <w:rStyle w:val="69"/>
                <w:rFonts w:hint="eastAsia" w:ascii="宋体" w:hAnsi="宋体"/>
                <w:b w:val="0"/>
                <w:sz w:val="21"/>
                <w:szCs w:val="21"/>
                <w:lang w:val="en-US" w:eastAsia="zh-CN"/>
              </w:rPr>
              <w:t>5</w:t>
            </w:r>
            <w:r>
              <w:rPr>
                <w:rStyle w:val="69"/>
                <w:rFonts w:ascii="宋体" w:hAnsi="宋体"/>
                <w:b w:val="0"/>
                <w:sz w:val="21"/>
                <w:szCs w:val="21"/>
              </w:rPr>
              <w:t>分</w:t>
            </w:r>
            <w:r>
              <w:rPr>
                <w:rStyle w:val="69"/>
                <w:rFonts w:hint="eastAsia" w:ascii="宋体" w:hAnsi="宋体"/>
                <w:b w:val="0"/>
                <w:sz w:val="21"/>
                <w:szCs w:val="21"/>
              </w:rPr>
              <w:t>，不符合要求或缺项不得分。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文案内容的准确性</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0-7</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Style w:val="69"/>
                <w:rFonts w:hint="eastAsia" w:ascii="宋体" w:hAnsi="宋体"/>
                <w:b w:val="0"/>
                <w:sz w:val="21"/>
                <w:szCs w:val="21"/>
                <w:lang w:eastAsia="zh-CN"/>
              </w:rPr>
            </w:pPr>
            <w:r>
              <w:rPr>
                <w:rStyle w:val="69"/>
                <w:rFonts w:hint="eastAsia" w:ascii="宋体" w:hAnsi="宋体"/>
                <w:b w:val="0"/>
                <w:sz w:val="21"/>
                <w:szCs w:val="21"/>
                <w:lang w:val="en-US" w:eastAsia="zh-CN"/>
              </w:rPr>
              <w:t>具体文案</w:t>
            </w:r>
            <w:r>
              <w:rPr>
                <w:rStyle w:val="69"/>
                <w:rFonts w:hint="eastAsia" w:ascii="宋体" w:hAnsi="宋体"/>
                <w:b w:val="0"/>
                <w:sz w:val="21"/>
                <w:szCs w:val="21"/>
                <w:lang w:eastAsia="zh-CN"/>
              </w:rPr>
              <w:t>内容准确严谨，条理清楚。文案内容完全符合要求的得</w:t>
            </w:r>
            <w:r>
              <w:rPr>
                <w:rStyle w:val="69"/>
                <w:rFonts w:hint="eastAsia" w:ascii="宋体" w:hAnsi="宋体"/>
                <w:b w:val="0"/>
                <w:sz w:val="21"/>
                <w:szCs w:val="21"/>
                <w:lang w:val="en-US" w:eastAsia="zh-CN"/>
              </w:rPr>
              <w:t>7</w:t>
            </w:r>
            <w:r>
              <w:rPr>
                <w:rStyle w:val="69"/>
                <w:rFonts w:ascii="宋体" w:hAnsi="宋体"/>
                <w:b w:val="0"/>
                <w:sz w:val="21"/>
                <w:szCs w:val="21"/>
              </w:rPr>
              <w:t>分，</w:t>
            </w:r>
            <w:r>
              <w:rPr>
                <w:rStyle w:val="69"/>
                <w:rFonts w:hint="eastAsia" w:ascii="宋体" w:hAnsi="宋体"/>
                <w:b w:val="0"/>
                <w:sz w:val="21"/>
                <w:szCs w:val="21"/>
              </w:rPr>
              <w:t>基本符合要求得</w:t>
            </w:r>
            <w:r>
              <w:rPr>
                <w:rStyle w:val="69"/>
                <w:rFonts w:hint="eastAsia" w:ascii="宋体" w:hAnsi="宋体"/>
                <w:b w:val="0"/>
                <w:sz w:val="21"/>
                <w:szCs w:val="21"/>
                <w:lang w:val="en-US" w:eastAsia="zh-CN"/>
              </w:rPr>
              <w:t>5</w:t>
            </w:r>
            <w:r>
              <w:rPr>
                <w:rStyle w:val="69"/>
                <w:rFonts w:ascii="宋体" w:hAnsi="宋体"/>
                <w:b w:val="0"/>
                <w:sz w:val="21"/>
                <w:szCs w:val="21"/>
              </w:rPr>
              <w:t>分</w:t>
            </w:r>
            <w:r>
              <w:rPr>
                <w:rStyle w:val="69"/>
                <w:rFonts w:hint="eastAsia" w:ascii="宋体" w:hAnsi="宋体"/>
                <w:b w:val="0"/>
                <w:sz w:val="21"/>
                <w:szCs w:val="21"/>
              </w:rPr>
              <w:t>，不符合要求或缺项不得分。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文化造型的丰富性</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0-7</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Style w:val="69"/>
                <w:rFonts w:hint="eastAsia" w:ascii="宋体" w:hAnsi="宋体"/>
                <w:b w:val="0"/>
                <w:sz w:val="21"/>
                <w:szCs w:val="21"/>
                <w:lang w:eastAsia="zh-CN"/>
              </w:rPr>
            </w:pPr>
            <w:r>
              <w:rPr>
                <w:rStyle w:val="69"/>
                <w:rFonts w:hint="eastAsia" w:ascii="宋体" w:hAnsi="宋体"/>
                <w:b w:val="0"/>
                <w:sz w:val="21"/>
                <w:szCs w:val="21"/>
                <w:lang w:val="en-US" w:eastAsia="zh-CN"/>
              </w:rPr>
              <w:t>文化造型的</w:t>
            </w:r>
            <w:r>
              <w:rPr>
                <w:rStyle w:val="69"/>
                <w:rFonts w:hint="eastAsia" w:ascii="宋体" w:hAnsi="宋体"/>
                <w:b w:val="0"/>
                <w:sz w:val="21"/>
                <w:szCs w:val="21"/>
                <w:lang w:eastAsia="zh-CN"/>
              </w:rPr>
              <w:t>表现形式多样化，中医文化氛围浓厚，</w:t>
            </w:r>
            <w:r>
              <w:rPr>
                <w:rStyle w:val="69"/>
                <w:rFonts w:hint="eastAsia" w:ascii="宋体" w:hAnsi="宋体"/>
                <w:b w:val="0"/>
                <w:sz w:val="21"/>
                <w:szCs w:val="21"/>
                <w:lang w:val="en-US" w:eastAsia="zh-CN"/>
              </w:rPr>
              <w:t>数量不低于采购要求</w:t>
            </w:r>
            <w:r>
              <w:rPr>
                <w:rStyle w:val="69"/>
                <w:rFonts w:hint="eastAsia" w:ascii="宋体" w:hAnsi="宋体"/>
                <w:b w:val="0"/>
                <w:sz w:val="21"/>
                <w:szCs w:val="21"/>
                <w:lang w:eastAsia="zh-CN"/>
              </w:rPr>
              <w:t>。编制内容完全符合要求的得</w:t>
            </w:r>
            <w:r>
              <w:rPr>
                <w:rStyle w:val="69"/>
                <w:rFonts w:hint="eastAsia" w:ascii="宋体" w:hAnsi="宋体"/>
                <w:b w:val="0"/>
                <w:sz w:val="21"/>
                <w:szCs w:val="21"/>
                <w:lang w:val="en-US" w:eastAsia="zh-CN"/>
              </w:rPr>
              <w:t>7</w:t>
            </w:r>
            <w:r>
              <w:rPr>
                <w:rStyle w:val="69"/>
                <w:rFonts w:hint="eastAsia" w:ascii="宋体" w:hAnsi="宋体"/>
                <w:b w:val="0"/>
                <w:sz w:val="21"/>
                <w:szCs w:val="21"/>
                <w:lang w:eastAsia="zh-CN"/>
              </w:rPr>
              <w:t>分，</w:t>
            </w:r>
            <w:r>
              <w:rPr>
                <w:rStyle w:val="69"/>
                <w:rFonts w:hint="eastAsia" w:ascii="宋体" w:hAnsi="宋体"/>
                <w:b w:val="0"/>
                <w:sz w:val="21"/>
                <w:szCs w:val="21"/>
              </w:rPr>
              <w:t>基本符合要求得</w:t>
            </w:r>
            <w:r>
              <w:rPr>
                <w:rStyle w:val="69"/>
                <w:rFonts w:hint="eastAsia" w:ascii="宋体" w:hAnsi="宋体"/>
                <w:b w:val="0"/>
                <w:sz w:val="21"/>
                <w:szCs w:val="21"/>
                <w:lang w:val="en-US" w:eastAsia="zh-CN"/>
              </w:rPr>
              <w:t>5</w:t>
            </w:r>
            <w:r>
              <w:rPr>
                <w:rStyle w:val="69"/>
                <w:rFonts w:hint="eastAsia" w:ascii="宋体" w:hAnsi="宋体"/>
                <w:b w:val="0"/>
                <w:sz w:val="21"/>
                <w:szCs w:val="21"/>
                <w:lang w:eastAsia="zh-CN"/>
              </w:rPr>
              <w:t>分</w:t>
            </w:r>
            <w:r>
              <w:rPr>
                <w:rStyle w:val="69"/>
                <w:rFonts w:hint="eastAsia" w:ascii="宋体" w:hAnsi="宋体"/>
                <w:b w:val="0"/>
                <w:sz w:val="21"/>
                <w:szCs w:val="21"/>
              </w:rPr>
              <w:t>，不符合要求或缺项不得分。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default"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sz w:val="24"/>
                <w:szCs w:val="24"/>
                <w:highlight w:val="none"/>
                <w:lang w:val="en-US" w:eastAsia="zh-CN"/>
              </w:rPr>
              <w:t>空间的美观性</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0-7</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Fonts w:hint="eastAsia" w:asciiTheme="minorEastAsia" w:hAnsiTheme="minorEastAsia" w:eastAsiaTheme="minorEastAsia" w:cstheme="minorEastAsia"/>
                <w:sz w:val="24"/>
                <w:szCs w:val="24"/>
                <w:highlight w:val="none"/>
              </w:rPr>
            </w:pPr>
            <w:r>
              <w:rPr>
                <w:rStyle w:val="69"/>
                <w:rFonts w:hint="eastAsia" w:ascii="宋体" w:hAnsi="宋体"/>
                <w:b w:val="0"/>
                <w:sz w:val="21"/>
                <w:szCs w:val="21"/>
                <w:lang w:eastAsia="zh-CN"/>
              </w:rPr>
              <w:t>文化造型</w:t>
            </w:r>
            <w:r>
              <w:rPr>
                <w:rStyle w:val="69"/>
                <w:rFonts w:hint="eastAsia" w:ascii="宋体" w:hAnsi="宋体"/>
                <w:b w:val="0"/>
                <w:sz w:val="21"/>
                <w:szCs w:val="21"/>
                <w:lang w:val="en-US" w:eastAsia="zh-CN"/>
              </w:rPr>
              <w:t>和装修风格和谐美观，</w:t>
            </w:r>
            <w:r>
              <w:rPr>
                <w:rStyle w:val="69"/>
                <w:rFonts w:hint="eastAsia" w:ascii="宋体" w:hAnsi="宋体"/>
                <w:b w:val="0"/>
                <w:sz w:val="21"/>
                <w:szCs w:val="21"/>
                <w:lang w:eastAsia="zh-CN"/>
              </w:rPr>
              <w:t>简约新中式</w:t>
            </w:r>
            <w:r>
              <w:rPr>
                <w:rStyle w:val="69"/>
                <w:rFonts w:hint="eastAsia" w:ascii="宋体" w:hAnsi="宋体"/>
                <w:b w:val="0"/>
                <w:sz w:val="21"/>
                <w:szCs w:val="21"/>
                <w:lang w:val="en-US" w:eastAsia="zh-CN"/>
              </w:rPr>
              <w:t>风格</w:t>
            </w:r>
            <w:r>
              <w:rPr>
                <w:rStyle w:val="69"/>
                <w:rFonts w:hint="eastAsia" w:ascii="宋体" w:hAnsi="宋体"/>
                <w:b w:val="0"/>
                <w:sz w:val="21"/>
                <w:szCs w:val="21"/>
                <w:lang w:eastAsia="zh-CN"/>
              </w:rPr>
              <w:t>，色调温馨舒适。编制内容完全符合要求的得</w:t>
            </w:r>
            <w:r>
              <w:rPr>
                <w:rStyle w:val="69"/>
                <w:rFonts w:hint="eastAsia" w:ascii="宋体" w:hAnsi="宋体"/>
                <w:b w:val="0"/>
                <w:sz w:val="21"/>
                <w:szCs w:val="21"/>
                <w:lang w:val="en-US" w:eastAsia="zh-CN"/>
              </w:rPr>
              <w:t>7</w:t>
            </w:r>
            <w:r>
              <w:rPr>
                <w:rStyle w:val="69"/>
                <w:rFonts w:hint="eastAsia" w:ascii="宋体" w:hAnsi="宋体"/>
                <w:b w:val="0"/>
                <w:sz w:val="21"/>
                <w:szCs w:val="21"/>
                <w:lang w:eastAsia="zh-CN"/>
              </w:rPr>
              <w:t>分，</w:t>
            </w:r>
            <w:r>
              <w:rPr>
                <w:rStyle w:val="69"/>
                <w:rFonts w:hint="eastAsia" w:ascii="宋体" w:hAnsi="宋体"/>
                <w:b w:val="0"/>
                <w:sz w:val="21"/>
                <w:szCs w:val="21"/>
              </w:rPr>
              <w:t>基本符合要求得</w:t>
            </w:r>
            <w:r>
              <w:rPr>
                <w:rStyle w:val="69"/>
                <w:rFonts w:hint="eastAsia" w:ascii="宋体" w:hAnsi="宋体"/>
                <w:b w:val="0"/>
                <w:sz w:val="21"/>
                <w:szCs w:val="21"/>
                <w:lang w:val="en-US" w:eastAsia="zh-CN"/>
              </w:rPr>
              <w:t>5</w:t>
            </w:r>
            <w:r>
              <w:rPr>
                <w:rStyle w:val="69"/>
                <w:rFonts w:hint="eastAsia" w:ascii="宋体" w:hAnsi="宋体"/>
                <w:b w:val="0"/>
                <w:sz w:val="21"/>
                <w:szCs w:val="21"/>
                <w:lang w:eastAsia="zh-CN"/>
              </w:rPr>
              <w:t>分</w:t>
            </w:r>
            <w:r>
              <w:rPr>
                <w:rStyle w:val="69"/>
                <w:rFonts w:hint="eastAsia" w:ascii="宋体" w:hAnsi="宋体"/>
                <w:b w:val="0"/>
                <w:sz w:val="21"/>
                <w:szCs w:val="21"/>
              </w:rPr>
              <w:t>，不符合要求或缺项不得分。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default"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sz w:val="24"/>
                <w:szCs w:val="24"/>
                <w:highlight w:val="none"/>
                <w:lang w:eastAsia="zh-CN"/>
              </w:rPr>
              <w:t>材料</w:t>
            </w:r>
            <w:r>
              <w:rPr>
                <w:rFonts w:hint="eastAsia" w:asciiTheme="minorEastAsia" w:hAnsiTheme="minorEastAsia" w:eastAsiaTheme="minorEastAsia" w:cstheme="minorEastAsia"/>
                <w:b/>
                <w:sz w:val="24"/>
                <w:szCs w:val="24"/>
                <w:highlight w:val="none"/>
                <w:lang w:val="en-US" w:eastAsia="zh-CN"/>
              </w:rPr>
              <w:t>制作工艺</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0-7</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Fonts w:hint="eastAsia" w:asciiTheme="minorEastAsia" w:hAnsiTheme="minorEastAsia" w:eastAsiaTheme="minorEastAsia" w:cstheme="minorEastAsia"/>
                <w:sz w:val="24"/>
                <w:szCs w:val="24"/>
                <w:highlight w:val="none"/>
              </w:rPr>
            </w:pPr>
            <w:r>
              <w:rPr>
                <w:rFonts w:hint="eastAsia"/>
                <w:lang w:eastAsia="zh-CN"/>
              </w:rPr>
              <w:t>文化造型和装修材料的选择</w:t>
            </w:r>
            <w:r>
              <w:rPr>
                <w:rFonts w:hint="eastAsia"/>
              </w:rPr>
              <w:t>合理，材质稳定、环保</w:t>
            </w:r>
            <w:r>
              <w:rPr>
                <w:rFonts w:hint="eastAsia"/>
                <w:lang w:eastAsia="zh-CN"/>
              </w:rPr>
              <w:t>、耐用、</w:t>
            </w:r>
            <w:r>
              <w:rPr>
                <w:rFonts w:hint="eastAsia"/>
              </w:rPr>
              <w:t>经济实用</w:t>
            </w:r>
            <w:r>
              <w:rPr>
                <w:rFonts w:hint="eastAsia"/>
                <w:lang w:eastAsia="zh-CN"/>
              </w:rPr>
              <w:t>。</w:t>
            </w:r>
            <w:r>
              <w:rPr>
                <w:rFonts w:hint="eastAsia"/>
                <w:lang w:val="en-US" w:eastAsia="zh-CN"/>
              </w:rPr>
              <w:t>制作工艺符合国家标准。</w:t>
            </w:r>
            <w:r>
              <w:rPr>
                <w:rStyle w:val="69"/>
                <w:rFonts w:hint="eastAsia" w:ascii="宋体" w:hAnsi="宋体"/>
                <w:b w:val="0"/>
                <w:sz w:val="21"/>
                <w:szCs w:val="21"/>
                <w:lang w:eastAsia="zh-CN"/>
              </w:rPr>
              <w:t>编制内容完全符合要求的得</w:t>
            </w:r>
            <w:r>
              <w:rPr>
                <w:rStyle w:val="69"/>
                <w:rFonts w:hint="eastAsia" w:ascii="宋体" w:hAnsi="宋体"/>
                <w:b w:val="0"/>
                <w:sz w:val="21"/>
                <w:szCs w:val="21"/>
              </w:rPr>
              <w:t>计</w:t>
            </w:r>
            <w:r>
              <w:rPr>
                <w:rStyle w:val="69"/>
                <w:rFonts w:hint="eastAsia" w:ascii="宋体" w:hAnsi="宋体"/>
                <w:b w:val="0"/>
                <w:sz w:val="21"/>
                <w:szCs w:val="21"/>
                <w:lang w:val="en-US" w:eastAsia="zh-CN"/>
              </w:rPr>
              <w:t>7</w:t>
            </w:r>
            <w:r>
              <w:rPr>
                <w:rStyle w:val="69"/>
                <w:rFonts w:ascii="宋体" w:hAnsi="宋体"/>
                <w:b w:val="0"/>
                <w:sz w:val="21"/>
                <w:szCs w:val="21"/>
              </w:rPr>
              <w:t>分，</w:t>
            </w:r>
            <w:r>
              <w:rPr>
                <w:rStyle w:val="69"/>
                <w:rFonts w:hint="eastAsia" w:ascii="宋体" w:hAnsi="宋体"/>
                <w:b w:val="0"/>
                <w:sz w:val="21"/>
                <w:szCs w:val="21"/>
              </w:rPr>
              <w:t>基本符合要求得</w:t>
            </w:r>
            <w:r>
              <w:rPr>
                <w:rStyle w:val="69"/>
                <w:rFonts w:hint="eastAsia" w:ascii="宋体" w:hAnsi="宋体"/>
                <w:b w:val="0"/>
                <w:sz w:val="21"/>
                <w:szCs w:val="21"/>
                <w:lang w:val="en-US" w:eastAsia="zh-CN"/>
              </w:rPr>
              <w:t>5</w:t>
            </w:r>
            <w:r>
              <w:rPr>
                <w:rStyle w:val="69"/>
                <w:rFonts w:ascii="宋体" w:hAnsi="宋体"/>
                <w:b w:val="0"/>
                <w:sz w:val="21"/>
                <w:szCs w:val="21"/>
              </w:rPr>
              <w:t>分</w:t>
            </w:r>
            <w:r>
              <w:rPr>
                <w:rStyle w:val="69"/>
                <w:rFonts w:hint="eastAsia" w:ascii="宋体" w:hAnsi="宋体"/>
                <w:b w:val="0"/>
                <w:sz w:val="21"/>
                <w:szCs w:val="21"/>
              </w:rPr>
              <w:t>，不符合要求或缺项不得分。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设计团队人员架构</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0-5</w:t>
            </w:r>
            <w:r>
              <w:rPr>
                <w:rFonts w:hint="eastAsia" w:asciiTheme="minorEastAsia" w:hAnsiTheme="minorEastAsia" w:eastAsiaTheme="minorEastAsia" w:cstheme="minorEastAsia"/>
                <w:b/>
                <w:sz w:val="24"/>
                <w:szCs w:val="24"/>
                <w:highlight w:val="none"/>
              </w:rPr>
              <w:t>分</w:t>
            </w:r>
          </w:p>
        </w:tc>
        <w:tc>
          <w:tcPr>
            <w:tcW w:w="5750" w:type="dxa"/>
            <w:vAlign w:val="top"/>
          </w:tcPr>
          <w:p>
            <w:pPr>
              <w:spacing w:after="60" w:line="360" w:lineRule="auto"/>
              <w:jc w:val="left"/>
              <w:rPr>
                <w:rFonts w:hint="eastAsia" w:asciiTheme="minorEastAsia" w:hAnsiTheme="minorEastAsia" w:eastAsiaTheme="minorEastAsia" w:cstheme="minorEastAsia"/>
                <w:sz w:val="24"/>
                <w:szCs w:val="24"/>
                <w:highlight w:val="none"/>
              </w:rPr>
            </w:pPr>
            <w:r>
              <w:rPr>
                <w:rStyle w:val="69"/>
                <w:rFonts w:hint="eastAsia" w:ascii="宋体" w:hAnsi="宋体"/>
                <w:b w:val="0"/>
                <w:sz w:val="21"/>
                <w:szCs w:val="21"/>
                <w:lang w:eastAsia="zh-CN"/>
              </w:rPr>
              <w:t>设计团队的人员组织架构安排合理。计划合理、可行性强的得</w:t>
            </w:r>
            <w:r>
              <w:rPr>
                <w:rStyle w:val="69"/>
                <w:rFonts w:hint="eastAsia" w:ascii="宋体" w:hAnsi="宋体"/>
                <w:b w:val="0"/>
                <w:sz w:val="21"/>
                <w:szCs w:val="21"/>
                <w:lang w:val="en-US" w:eastAsia="zh-CN"/>
              </w:rPr>
              <w:t>5</w:t>
            </w:r>
            <w:r>
              <w:rPr>
                <w:rStyle w:val="69"/>
                <w:rFonts w:hint="eastAsia" w:ascii="宋体" w:hAnsi="宋体"/>
                <w:b w:val="0"/>
                <w:sz w:val="21"/>
                <w:szCs w:val="21"/>
                <w:lang w:eastAsia="zh-CN"/>
              </w:rPr>
              <w:t>分，比较合理得</w:t>
            </w:r>
            <w:r>
              <w:rPr>
                <w:rStyle w:val="69"/>
                <w:rFonts w:hint="eastAsia" w:ascii="宋体" w:hAnsi="宋体"/>
                <w:b w:val="0"/>
                <w:sz w:val="21"/>
                <w:szCs w:val="21"/>
                <w:lang w:val="en-US" w:eastAsia="zh-CN"/>
              </w:rPr>
              <w:t>3</w:t>
            </w:r>
            <w:r>
              <w:rPr>
                <w:rStyle w:val="69"/>
                <w:rFonts w:hint="eastAsia" w:ascii="宋体" w:hAnsi="宋体"/>
                <w:b w:val="0"/>
                <w:sz w:val="21"/>
                <w:szCs w:val="21"/>
                <w:lang w:eastAsia="zh-CN"/>
              </w:rPr>
              <w:t>分，不合理或缺项不得分。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3" w:type="dxa"/>
            <w:vMerge w:val="continue"/>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lang w:eastAsia="zh-CN"/>
              </w:rPr>
              <w:t>文化造型的安装位置是否合理</w:t>
            </w:r>
          </w:p>
        </w:tc>
        <w:tc>
          <w:tcPr>
            <w:tcW w:w="1050" w:type="dxa"/>
            <w:vAlign w:val="center"/>
          </w:tcPr>
          <w:p>
            <w:pPr>
              <w:autoSpaceDE w:val="0"/>
              <w:autoSpaceDN w:val="0"/>
              <w:spacing w:line="360" w:lineRule="auto"/>
              <w:jc w:val="center"/>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0-5分</w:t>
            </w:r>
          </w:p>
        </w:tc>
        <w:tc>
          <w:tcPr>
            <w:tcW w:w="5750" w:type="dxa"/>
            <w:vAlign w:val="top"/>
          </w:tcPr>
          <w:p>
            <w:pPr>
              <w:pStyle w:val="2"/>
              <w:numPr>
                <w:ilvl w:val="1"/>
                <w:numId w:val="0"/>
              </w:numPr>
              <w:ind w:left="180" w:leftChars="0"/>
              <w:jc w:val="left"/>
              <w:rPr>
                <w:rFonts w:hint="eastAsia"/>
                <w:color w:val="auto"/>
              </w:rPr>
            </w:pPr>
            <w:r>
              <w:rPr>
                <w:rStyle w:val="69"/>
                <w:rFonts w:hint="eastAsia" w:ascii="宋体" w:hAnsi="宋体" w:eastAsia="宋体" w:cs="Times New Roman"/>
                <w:b w:val="0"/>
                <w:sz w:val="21"/>
                <w:szCs w:val="21"/>
                <w:lang w:val="en-US" w:eastAsia="zh-CN" w:bidi="ar-SA"/>
              </w:rPr>
              <w:t>文化造型的安装位置合理，不能影响医疗功能。计划合理、可行性强的得5分，比较合理得3分，不合理或缺项不得分。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3"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p>
        </w:tc>
        <w:tc>
          <w:tcPr>
            <w:tcW w:w="2004" w:type="dxa"/>
            <w:vAlign w:val="center"/>
          </w:tcPr>
          <w:p>
            <w:pPr>
              <w:autoSpaceDE w:val="0"/>
              <w:autoSpaceDN w:val="0"/>
              <w:spacing w:line="360" w:lineRule="auto"/>
              <w:jc w:val="center"/>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lang w:eastAsia="zh-CN"/>
              </w:rPr>
              <w:t>实施方案</w:t>
            </w:r>
          </w:p>
        </w:tc>
        <w:tc>
          <w:tcPr>
            <w:tcW w:w="1050" w:type="dxa"/>
            <w:vAlign w:val="center"/>
          </w:tcPr>
          <w:p>
            <w:pPr>
              <w:autoSpaceDE w:val="0"/>
              <w:autoSpaceDN w:val="0"/>
              <w:spacing w:line="360" w:lineRule="auto"/>
              <w:jc w:val="center"/>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0-15分</w:t>
            </w:r>
          </w:p>
        </w:tc>
        <w:tc>
          <w:tcPr>
            <w:tcW w:w="5750" w:type="dxa"/>
            <w:vAlign w:val="top"/>
          </w:tcPr>
          <w:p>
            <w:pPr>
              <w:spacing w:after="60" w:line="360" w:lineRule="auto"/>
              <w:jc w:val="left"/>
              <w:rPr>
                <w:rFonts w:hint="eastAsia"/>
                <w:szCs w:val="22"/>
              </w:rPr>
            </w:pPr>
            <w:r>
              <w:rPr>
                <w:rFonts w:hint="eastAsia"/>
                <w:szCs w:val="22"/>
              </w:rPr>
              <w:t>1、投标供应商应提供对拟派本项目</w:t>
            </w:r>
            <w:r>
              <w:rPr>
                <w:rFonts w:hint="eastAsia"/>
                <w:szCs w:val="22"/>
                <w:lang w:val="en-US" w:eastAsia="zh-CN"/>
              </w:rPr>
              <w:t>安装</w:t>
            </w:r>
            <w:r>
              <w:rPr>
                <w:rFonts w:hint="eastAsia"/>
                <w:szCs w:val="22"/>
              </w:rPr>
              <w:t>人员组织、安排及对本项目安装、质量保证措施。完全提供且措施计划合理可行性强的得</w:t>
            </w:r>
            <w:r>
              <w:rPr>
                <w:rFonts w:hint="eastAsia"/>
                <w:szCs w:val="22"/>
                <w:lang w:val="en-US" w:eastAsia="zh-CN"/>
              </w:rPr>
              <w:t>5</w:t>
            </w:r>
            <w:r>
              <w:rPr>
                <w:rFonts w:hint="eastAsia"/>
                <w:szCs w:val="22"/>
              </w:rPr>
              <w:t>分，完全提供措施计划比较合理有一定可行性的得</w:t>
            </w:r>
            <w:r>
              <w:rPr>
                <w:rFonts w:hint="eastAsia"/>
                <w:szCs w:val="22"/>
                <w:lang w:val="en-US" w:eastAsia="zh-CN"/>
              </w:rPr>
              <w:t>3</w:t>
            </w:r>
            <w:r>
              <w:rPr>
                <w:rFonts w:hint="eastAsia"/>
                <w:szCs w:val="22"/>
              </w:rPr>
              <w:t>分 ，未完全提供的得</w:t>
            </w:r>
            <w:r>
              <w:rPr>
                <w:rFonts w:hint="eastAsia"/>
                <w:szCs w:val="22"/>
                <w:lang w:val="en-US" w:eastAsia="zh-CN"/>
              </w:rPr>
              <w:t>0</w:t>
            </w:r>
            <w:r>
              <w:rPr>
                <w:rFonts w:hint="eastAsia"/>
                <w:szCs w:val="22"/>
              </w:rPr>
              <w:t xml:space="preserve">分。 </w:t>
            </w:r>
          </w:p>
          <w:p>
            <w:pPr>
              <w:spacing w:after="60" w:line="360" w:lineRule="auto"/>
              <w:jc w:val="left"/>
              <w:rPr>
                <w:rFonts w:hint="eastAsia"/>
                <w:szCs w:val="22"/>
              </w:rPr>
            </w:pPr>
            <w:r>
              <w:rPr>
                <w:rFonts w:hint="eastAsia"/>
                <w:szCs w:val="22"/>
              </w:rPr>
              <w:t>2、投标供应商应提供对本项目货物运输、配送及时性的保证措施。完全提供且措施计划合理可行性强的得</w:t>
            </w:r>
            <w:r>
              <w:rPr>
                <w:rFonts w:hint="eastAsia"/>
                <w:szCs w:val="22"/>
                <w:lang w:val="en-US" w:eastAsia="zh-CN"/>
              </w:rPr>
              <w:t>5</w:t>
            </w:r>
            <w:r>
              <w:rPr>
                <w:rFonts w:hint="eastAsia"/>
                <w:szCs w:val="22"/>
              </w:rPr>
              <w:t xml:space="preserve"> 分，完全提供措施计划比较合理有一定可行性的得</w:t>
            </w:r>
            <w:r>
              <w:rPr>
                <w:rFonts w:hint="eastAsia"/>
                <w:szCs w:val="22"/>
                <w:lang w:val="en-US" w:eastAsia="zh-CN"/>
              </w:rPr>
              <w:t>3</w:t>
            </w:r>
            <w:r>
              <w:rPr>
                <w:rFonts w:hint="eastAsia"/>
                <w:szCs w:val="22"/>
              </w:rPr>
              <w:t>分，未完全提供的得</w:t>
            </w:r>
            <w:r>
              <w:rPr>
                <w:rFonts w:hint="eastAsia"/>
                <w:szCs w:val="22"/>
                <w:lang w:val="en-US" w:eastAsia="zh-CN"/>
              </w:rPr>
              <w:t>0</w:t>
            </w:r>
            <w:r>
              <w:rPr>
                <w:rFonts w:hint="eastAsia"/>
                <w:szCs w:val="22"/>
              </w:rPr>
              <w:t xml:space="preserve">分。 </w:t>
            </w:r>
          </w:p>
          <w:p>
            <w:pPr>
              <w:spacing w:after="60" w:line="360" w:lineRule="auto"/>
              <w:jc w:val="left"/>
              <w:rPr>
                <w:rFonts w:hint="eastAsia" w:ascii="Times New Roman" w:hAnsi="Times New Roman" w:eastAsia="宋体" w:cs="Times New Roman"/>
                <w:b w:val="0"/>
                <w:kern w:val="2"/>
                <w:sz w:val="21"/>
                <w:szCs w:val="22"/>
                <w:lang w:val="en-US" w:eastAsia="zh-CN" w:bidi="ar-SA"/>
              </w:rPr>
            </w:pPr>
            <w:r>
              <w:rPr>
                <w:rFonts w:hint="eastAsia"/>
                <w:szCs w:val="22"/>
              </w:rPr>
              <w:t>3、投标供应商针对本项目安装、调试及交付、验收等时间节点控制的保证措施。完全提供且完全适用于本项目实际情况的得</w:t>
            </w:r>
            <w:r>
              <w:rPr>
                <w:rFonts w:hint="eastAsia"/>
                <w:szCs w:val="22"/>
                <w:lang w:val="en-US" w:eastAsia="zh-CN"/>
              </w:rPr>
              <w:t>5</w:t>
            </w:r>
            <w:r>
              <w:rPr>
                <w:rFonts w:hint="eastAsia"/>
                <w:szCs w:val="22"/>
              </w:rPr>
              <w:t xml:space="preserve"> 分，完全提供且基本符合本项目实际情况的得</w:t>
            </w:r>
            <w:r>
              <w:rPr>
                <w:rFonts w:hint="eastAsia"/>
                <w:szCs w:val="22"/>
                <w:lang w:val="en-US" w:eastAsia="zh-CN"/>
              </w:rPr>
              <w:t>3</w:t>
            </w:r>
            <w:r>
              <w:rPr>
                <w:rFonts w:hint="eastAsia"/>
                <w:szCs w:val="22"/>
              </w:rPr>
              <w:t>分，未完全提供的得</w:t>
            </w:r>
            <w:r>
              <w:rPr>
                <w:rFonts w:hint="eastAsia"/>
                <w:szCs w:val="22"/>
                <w:lang w:val="en-US" w:eastAsia="zh-CN"/>
              </w:rPr>
              <w:t>0</w:t>
            </w:r>
            <w:r>
              <w:rPr>
                <w:rFonts w:hint="eastAsia"/>
                <w:szCs w:val="22"/>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3" w:type="dxa"/>
            <w:vAlign w:val="center"/>
          </w:tcPr>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商务得分</w:t>
            </w:r>
          </w:p>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sz w:val="24"/>
                <w:szCs w:val="24"/>
                <w:highlight w:val="none"/>
                <w:lang w:val="en-US" w:eastAsia="zh-CN"/>
              </w:rPr>
              <w:t>10</w:t>
            </w:r>
            <w:r>
              <w:rPr>
                <w:rFonts w:hint="eastAsia" w:asciiTheme="minorEastAsia" w:hAnsiTheme="minorEastAsia" w:eastAsiaTheme="minorEastAsia" w:cstheme="minorEastAsia"/>
                <w:b/>
                <w:sz w:val="24"/>
                <w:szCs w:val="24"/>
                <w:highlight w:val="none"/>
              </w:rPr>
              <w:t>分）</w:t>
            </w:r>
          </w:p>
        </w:tc>
        <w:tc>
          <w:tcPr>
            <w:tcW w:w="2004" w:type="dxa"/>
            <w:vAlign w:val="center"/>
          </w:tcPr>
          <w:p>
            <w:pPr>
              <w:autoSpaceDE w:val="0"/>
              <w:autoSpaceDN w:val="0"/>
              <w:spacing w:line="360" w:lineRule="auto"/>
              <w:jc w:val="center"/>
              <w:rPr>
                <w:rFonts w:hint="eastAsia" w:asciiTheme="minorEastAsia" w:hAnsiTheme="minorEastAsia" w:eastAsiaTheme="minorEastAsia" w:cstheme="minorEastAsia"/>
                <w:b/>
                <w:color w:val="0000FF"/>
                <w:sz w:val="24"/>
                <w:szCs w:val="24"/>
                <w:highlight w:val="none"/>
                <w:lang w:eastAsia="zh-CN"/>
              </w:rPr>
            </w:pPr>
            <w:r>
              <w:rPr>
                <w:rFonts w:hint="eastAsia" w:asciiTheme="minorEastAsia" w:hAnsiTheme="minorEastAsia" w:eastAsiaTheme="minorEastAsia" w:cstheme="minorEastAsia"/>
                <w:b/>
                <w:sz w:val="24"/>
                <w:szCs w:val="24"/>
                <w:highlight w:val="none"/>
                <w:lang w:eastAsia="zh-CN"/>
              </w:rPr>
              <w:t>类似业绩</w:t>
            </w:r>
          </w:p>
        </w:tc>
        <w:tc>
          <w:tcPr>
            <w:tcW w:w="1050" w:type="dxa"/>
            <w:vAlign w:val="center"/>
          </w:tcPr>
          <w:p>
            <w:pPr>
              <w:autoSpaceDE w:val="0"/>
              <w:autoSpaceDN w:val="0"/>
              <w:spacing w:line="360" w:lineRule="auto"/>
              <w:jc w:val="center"/>
              <w:rPr>
                <w:rFonts w:hint="eastAsia" w:asciiTheme="minorEastAsia" w:hAnsiTheme="minorEastAsia" w:eastAsiaTheme="minorEastAsia" w:cstheme="minorEastAsia"/>
                <w:b/>
                <w:color w:val="0000FF"/>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10</w:t>
            </w:r>
            <w:r>
              <w:rPr>
                <w:rFonts w:hint="eastAsia" w:asciiTheme="minorEastAsia" w:hAnsiTheme="minorEastAsia" w:eastAsiaTheme="minorEastAsia" w:cstheme="minorEastAsia"/>
                <w:b/>
                <w:sz w:val="24"/>
                <w:szCs w:val="24"/>
                <w:highlight w:val="none"/>
              </w:rPr>
              <w:t>分</w:t>
            </w:r>
          </w:p>
        </w:tc>
        <w:tc>
          <w:tcPr>
            <w:tcW w:w="5750" w:type="dxa"/>
            <w:vAlign w:val="top"/>
          </w:tcPr>
          <w:p>
            <w:pPr>
              <w:adjustRightInd w:val="0"/>
              <w:spacing w:line="360" w:lineRule="auto"/>
              <w:rPr>
                <w:rStyle w:val="69"/>
                <w:rFonts w:hint="eastAsia" w:ascii="宋体" w:hAnsi="宋体"/>
                <w:b w:val="0"/>
                <w:color w:val="0000FF"/>
                <w:sz w:val="21"/>
                <w:szCs w:val="21"/>
              </w:rPr>
            </w:pPr>
            <w:r>
              <w:rPr>
                <w:rFonts w:hint="eastAsia" w:ascii="宋体" w:hAnsi="宋体"/>
                <w:snapToGrid w:val="0"/>
                <w:kern w:val="0"/>
                <w:szCs w:val="21"/>
              </w:rPr>
              <w:t>近年（</w:t>
            </w:r>
            <w:r>
              <w:rPr>
                <w:rFonts w:ascii="宋体" w:hAnsi="宋体"/>
                <w:snapToGrid w:val="0"/>
                <w:kern w:val="0"/>
                <w:szCs w:val="21"/>
              </w:rPr>
              <w:t>20</w:t>
            </w:r>
            <w:r>
              <w:rPr>
                <w:rFonts w:hint="eastAsia" w:ascii="宋体" w:hAnsi="宋体"/>
                <w:snapToGrid w:val="0"/>
                <w:kern w:val="0"/>
                <w:szCs w:val="21"/>
              </w:rPr>
              <w:t>1</w:t>
            </w:r>
            <w:r>
              <w:rPr>
                <w:rFonts w:hint="eastAsia" w:ascii="宋体" w:hAnsi="宋体"/>
                <w:snapToGrid w:val="0"/>
                <w:kern w:val="0"/>
                <w:szCs w:val="21"/>
                <w:lang w:val="en-US" w:eastAsia="zh-CN"/>
              </w:rPr>
              <w:t>6</w:t>
            </w:r>
            <w:r>
              <w:rPr>
                <w:rFonts w:ascii="宋体" w:hAnsi="宋体"/>
                <w:snapToGrid w:val="0"/>
                <w:kern w:val="0"/>
                <w:szCs w:val="21"/>
              </w:rPr>
              <w:t>年</w:t>
            </w:r>
            <w:r>
              <w:rPr>
                <w:rFonts w:hint="eastAsia" w:ascii="宋体" w:hAnsi="宋体"/>
                <w:snapToGrid w:val="0"/>
                <w:kern w:val="0"/>
                <w:szCs w:val="21"/>
              </w:rPr>
              <w:t>1</w:t>
            </w:r>
            <w:r>
              <w:rPr>
                <w:rFonts w:ascii="宋体" w:hAnsi="宋体"/>
                <w:snapToGrid w:val="0"/>
                <w:kern w:val="0"/>
                <w:szCs w:val="21"/>
              </w:rPr>
              <w:t>月1日至本项目投标截止日期间</w:t>
            </w:r>
            <w:r>
              <w:rPr>
                <w:rFonts w:hint="eastAsia" w:ascii="宋体" w:hAnsi="宋体"/>
                <w:snapToGrid w:val="0"/>
                <w:kern w:val="0"/>
                <w:szCs w:val="21"/>
              </w:rPr>
              <w:t>）投标人从事过</w:t>
            </w:r>
            <w:r>
              <w:rPr>
                <w:rFonts w:hint="eastAsia" w:ascii="宋体" w:hAnsi="宋体"/>
                <w:snapToGrid w:val="0"/>
                <w:kern w:val="0"/>
                <w:szCs w:val="21"/>
                <w:lang w:eastAsia="zh-CN"/>
              </w:rPr>
              <w:t>的</w:t>
            </w:r>
            <w:r>
              <w:rPr>
                <w:rFonts w:hint="eastAsia" w:ascii="宋体" w:hAnsi="宋体"/>
                <w:snapToGrid w:val="0"/>
                <w:kern w:val="0"/>
                <w:szCs w:val="21"/>
                <w:lang w:val="en-US" w:eastAsia="zh-CN"/>
              </w:rPr>
              <w:t>类似项目</w:t>
            </w:r>
            <w:r>
              <w:rPr>
                <w:rFonts w:hint="eastAsia" w:ascii="宋体" w:hAnsi="宋体"/>
                <w:snapToGrid w:val="0"/>
                <w:kern w:val="0"/>
                <w:szCs w:val="21"/>
              </w:rPr>
              <w:t>的业绩，每一个得</w:t>
            </w:r>
            <w:r>
              <w:rPr>
                <w:rFonts w:hint="eastAsia" w:ascii="宋体" w:hAnsi="宋体"/>
                <w:snapToGrid w:val="0"/>
                <w:kern w:val="0"/>
                <w:szCs w:val="21"/>
                <w:lang w:val="en-US" w:eastAsia="zh-CN"/>
              </w:rPr>
              <w:t>2</w:t>
            </w:r>
            <w:r>
              <w:rPr>
                <w:rFonts w:hint="eastAsia" w:ascii="宋体" w:hAnsi="宋体"/>
                <w:snapToGrid w:val="0"/>
                <w:kern w:val="0"/>
                <w:szCs w:val="21"/>
              </w:rPr>
              <w:t>分，</w:t>
            </w:r>
            <w:r>
              <w:rPr>
                <w:rFonts w:hint="eastAsia" w:ascii="宋体" w:hAnsi="宋体"/>
                <w:snapToGrid w:val="0"/>
                <w:kern w:val="0"/>
                <w:szCs w:val="21"/>
                <w:lang w:eastAsia="zh-CN"/>
              </w:rPr>
              <w:t>最多得</w:t>
            </w:r>
            <w:r>
              <w:rPr>
                <w:rFonts w:hint="eastAsia" w:ascii="宋体" w:hAnsi="宋体"/>
                <w:snapToGrid w:val="0"/>
                <w:kern w:val="0"/>
                <w:szCs w:val="21"/>
                <w:lang w:val="en-US" w:eastAsia="zh-CN"/>
              </w:rPr>
              <w:t>10分</w:t>
            </w:r>
            <w:r>
              <w:rPr>
                <w:rFonts w:hint="eastAsia" w:ascii="宋体" w:hAnsi="宋体"/>
                <w:snapToGrid w:val="0"/>
                <w:kern w:val="0"/>
                <w:szCs w:val="21"/>
              </w:rPr>
              <w:t>。（</w:t>
            </w:r>
            <w:r>
              <w:rPr>
                <w:rFonts w:hint="eastAsia" w:ascii="宋体" w:hAnsi="宋体"/>
                <w:snapToGrid w:val="0"/>
                <w:kern w:val="0"/>
                <w:szCs w:val="21"/>
                <w:lang w:val="en-US" w:eastAsia="zh-CN"/>
              </w:rPr>
              <w:t>开标时</w:t>
            </w:r>
            <w:r>
              <w:rPr>
                <w:rFonts w:hint="eastAsia" w:ascii="宋体" w:hAnsi="宋体"/>
                <w:snapToGrid w:val="0"/>
                <w:kern w:val="0"/>
                <w:szCs w:val="21"/>
              </w:rPr>
              <w:t>需提供合同</w:t>
            </w:r>
            <w:r>
              <w:rPr>
                <w:rFonts w:hint="eastAsia" w:ascii="宋体" w:hAnsi="宋体"/>
                <w:snapToGrid w:val="0"/>
                <w:kern w:val="0"/>
                <w:szCs w:val="21"/>
                <w:lang w:eastAsia="zh-CN"/>
              </w:rPr>
              <w:t>或</w:t>
            </w:r>
            <w:r>
              <w:rPr>
                <w:rFonts w:hint="eastAsia" w:ascii="宋体" w:hAnsi="宋体"/>
                <w:snapToGrid w:val="0"/>
                <w:kern w:val="0"/>
                <w:szCs w:val="21"/>
                <w:lang w:val="en-US" w:eastAsia="zh-CN"/>
              </w:rPr>
              <w:t>中标通知书原件</w:t>
            </w:r>
            <w:r>
              <w:rPr>
                <w:rFonts w:hint="eastAsia" w:ascii="宋体" w:hAnsi="宋体"/>
                <w:snapToGrid w:val="0"/>
                <w:kern w:val="0"/>
                <w:szCs w:val="21"/>
              </w:rPr>
              <w:t>，否则不得分</w:t>
            </w:r>
            <w:r>
              <w:rPr>
                <w:rFonts w:hint="eastAsia" w:ascii="宋体" w:hAnsi="宋体"/>
                <w:snapToGrid w:val="0"/>
                <w:kern w:val="0"/>
                <w:szCs w:val="21"/>
                <w:lang w:eastAsia="zh-CN"/>
              </w:rPr>
              <w:t>。</w:t>
            </w:r>
            <w:r>
              <w:rPr>
                <w:rFonts w:hint="eastAsia" w:ascii="宋体" w:hAnsi="宋体"/>
                <w:snapToGrid w:val="0"/>
                <w:kern w:val="0"/>
                <w:szCs w:val="21"/>
              </w:rPr>
              <w:t>）</w:t>
            </w:r>
          </w:p>
        </w:tc>
      </w:tr>
    </w:tbl>
    <w:p>
      <w:pPr>
        <w:pStyle w:val="2"/>
        <w:numPr>
          <w:ilvl w:val="1"/>
          <w:numId w:val="0"/>
        </w:numPr>
        <w:spacing w:line="440" w:lineRule="exact"/>
        <w:ind w:firstLine="320" w:firstLineChars="10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3.评标程序</w:t>
      </w:r>
      <w:bookmarkEnd w:id="149"/>
      <w:bookmarkEnd w:id="15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bookmarkStart w:id="151" w:name="_Toc32732"/>
      <w:bookmarkStart w:id="152" w:name="_Toc19186"/>
      <w:bookmarkStart w:id="153" w:name="_Toc3146"/>
      <w:bookmarkStart w:id="154" w:name="_Toc17466"/>
      <w:bookmarkStart w:id="155" w:name="_Toc6598"/>
      <w:r>
        <w:rPr>
          <w:rFonts w:hint="eastAsia" w:asciiTheme="minorEastAsia" w:hAnsiTheme="minorEastAsia" w:eastAsiaTheme="minorEastAsia" w:cstheme="minorEastAsia"/>
          <w:sz w:val="21"/>
          <w:szCs w:val="21"/>
        </w:rPr>
        <w:t>1.资格审查和符合性审查</w:t>
      </w:r>
      <w:bookmarkEnd w:id="151"/>
      <w:bookmarkEnd w:id="152"/>
      <w:bookmarkEnd w:id="153"/>
      <w:bookmarkEnd w:id="154"/>
      <w:bookmarkEnd w:id="15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bookmarkStart w:id="156" w:name="_Toc1176"/>
      <w:bookmarkStart w:id="157" w:name="_Toc32619"/>
      <w:bookmarkStart w:id="158" w:name="_Toc22816"/>
      <w:bookmarkStart w:id="159" w:name="_Toc20998"/>
      <w:bookmarkStart w:id="160" w:name="_Toc418"/>
      <w:r>
        <w:rPr>
          <w:rFonts w:hint="eastAsia" w:asciiTheme="minorEastAsia" w:hAnsiTheme="minorEastAsia" w:eastAsiaTheme="minorEastAsia" w:cstheme="minorEastAsia"/>
          <w:sz w:val="21"/>
          <w:szCs w:val="21"/>
        </w:rPr>
        <w:t>1.1 资格审查</w:t>
      </w:r>
      <w:bookmarkEnd w:id="156"/>
      <w:bookmarkEnd w:id="157"/>
      <w:bookmarkEnd w:id="158"/>
      <w:bookmarkEnd w:id="159"/>
      <w:bookmarkEnd w:id="16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61" w:name="_Toc18487"/>
      <w:bookmarkStart w:id="162" w:name="_Toc361"/>
      <w:bookmarkStart w:id="163" w:name="_Toc3197"/>
      <w:bookmarkStart w:id="164" w:name="_Toc16426"/>
      <w:bookmarkStart w:id="165" w:name="_Toc30598"/>
      <w:r>
        <w:rPr>
          <w:rFonts w:hint="eastAsia" w:asciiTheme="minorEastAsia" w:hAnsiTheme="minorEastAsia" w:eastAsiaTheme="minorEastAsia" w:cstheme="minorEastAsia"/>
          <w:bCs/>
          <w:sz w:val="21"/>
          <w:szCs w:val="21"/>
        </w:rPr>
        <w:t>资格审查小组依据本章资格审查表规定的标准对投标文件进行资格审查，以确定供应商是否具备投标资格，有一项不符合评审标准的，资格审查小组应当认定其投标无效，合格供应商不足3家的，不得评标。</w:t>
      </w:r>
      <w:bookmarkEnd w:id="161"/>
      <w:bookmarkEnd w:id="162"/>
      <w:bookmarkEnd w:id="163"/>
      <w:bookmarkEnd w:id="164"/>
      <w:bookmarkEnd w:id="16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bookmarkStart w:id="166" w:name="_Toc1540"/>
      <w:bookmarkStart w:id="167" w:name="_Toc31114"/>
      <w:bookmarkStart w:id="168" w:name="_Toc21605"/>
      <w:bookmarkStart w:id="169" w:name="_Toc7413"/>
      <w:bookmarkStart w:id="170" w:name="_Toc21384"/>
      <w:r>
        <w:rPr>
          <w:rFonts w:hint="eastAsia" w:asciiTheme="minorEastAsia" w:hAnsiTheme="minorEastAsia" w:eastAsiaTheme="minorEastAsia" w:cstheme="minorEastAsia"/>
          <w:sz w:val="21"/>
          <w:szCs w:val="21"/>
        </w:rPr>
        <w:t>1.2 符合性审查</w:t>
      </w:r>
      <w:bookmarkEnd w:id="166"/>
      <w:bookmarkEnd w:id="167"/>
      <w:bookmarkEnd w:id="168"/>
      <w:bookmarkEnd w:id="169"/>
      <w:bookmarkEnd w:id="17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71" w:name="_Toc27971"/>
      <w:bookmarkStart w:id="172" w:name="_Toc24080"/>
      <w:bookmarkStart w:id="173" w:name="_Toc29969"/>
      <w:bookmarkStart w:id="174" w:name="_Toc23565"/>
      <w:bookmarkStart w:id="175" w:name="_Toc8515"/>
      <w:r>
        <w:rPr>
          <w:rFonts w:hint="eastAsia" w:asciiTheme="minorEastAsia" w:hAnsiTheme="minorEastAsia" w:eastAsiaTheme="minorEastAsia" w:cstheme="minorEastAsia"/>
          <w:bCs/>
          <w:sz w:val="21"/>
          <w:szCs w:val="21"/>
        </w:rPr>
        <w:t>评标委员会依据本章符合性审查表规定的标准，对符合资格的供应商的投标文件进行符合性审查，以确定其是否满足招标文件的实质性要求，有一项不符合评审标准的，评标委员会应当认定其投标无效。</w:t>
      </w:r>
      <w:bookmarkEnd w:id="171"/>
      <w:bookmarkEnd w:id="172"/>
      <w:bookmarkEnd w:id="173"/>
      <w:bookmarkEnd w:id="174"/>
      <w:bookmarkEnd w:id="17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76" w:name="_Toc10277"/>
      <w:bookmarkStart w:id="177" w:name="_Toc10429"/>
      <w:bookmarkStart w:id="178" w:name="_Toc19754"/>
      <w:bookmarkStart w:id="179" w:name="_Toc31361"/>
      <w:bookmarkStart w:id="180" w:name="_Toc3907"/>
      <w:r>
        <w:rPr>
          <w:rFonts w:hint="eastAsia" w:asciiTheme="minorEastAsia" w:hAnsiTheme="minorEastAsia" w:eastAsiaTheme="minorEastAsia" w:cstheme="minorEastAsia"/>
          <w:bCs/>
          <w:sz w:val="21"/>
          <w:szCs w:val="21"/>
        </w:rPr>
        <w:t>3.1.3 投标文件属下列情况之一的，应当在资格性、符合性检查时按照无效投标处理：</w:t>
      </w:r>
      <w:bookmarkEnd w:id="176"/>
      <w:bookmarkEnd w:id="177"/>
      <w:bookmarkEnd w:id="178"/>
      <w:bookmarkEnd w:id="179"/>
      <w:bookmarkEnd w:id="18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81" w:name="_Toc8394"/>
      <w:bookmarkStart w:id="182" w:name="_Toc22789"/>
      <w:bookmarkStart w:id="183" w:name="_Toc26575"/>
      <w:bookmarkStart w:id="184" w:name="_Toc28045"/>
      <w:bookmarkStart w:id="185" w:name="_Toc5325"/>
      <w:r>
        <w:rPr>
          <w:rFonts w:hint="eastAsia" w:asciiTheme="minorEastAsia" w:hAnsiTheme="minorEastAsia" w:eastAsiaTheme="minorEastAsia" w:cstheme="minorEastAsia"/>
          <w:bCs/>
          <w:sz w:val="21"/>
          <w:szCs w:val="21"/>
        </w:rPr>
        <w:t>（1）投标文件未按招标文件要求签署、盖章的；</w:t>
      </w:r>
      <w:bookmarkEnd w:id="181"/>
      <w:bookmarkEnd w:id="182"/>
      <w:bookmarkEnd w:id="183"/>
      <w:bookmarkEnd w:id="184"/>
      <w:bookmarkEnd w:id="18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86" w:name="_Toc5720"/>
      <w:bookmarkStart w:id="187" w:name="_Toc12807"/>
      <w:bookmarkStart w:id="188" w:name="_Toc22644"/>
      <w:bookmarkStart w:id="189" w:name="_Toc2028"/>
      <w:bookmarkStart w:id="190" w:name="_Toc22877"/>
      <w:r>
        <w:rPr>
          <w:rFonts w:hint="eastAsia" w:asciiTheme="minorEastAsia" w:hAnsiTheme="minorEastAsia" w:eastAsiaTheme="minorEastAsia" w:cstheme="minorEastAsia"/>
          <w:bCs/>
          <w:sz w:val="21"/>
          <w:szCs w:val="21"/>
        </w:rPr>
        <w:t>（2）不具备招标文件中规定的资格要求的；</w:t>
      </w:r>
      <w:bookmarkEnd w:id="186"/>
      <w:bookmarkEnd w:id="187"/>
      <w:bookmarkEnd w:id="188"/>
      <w:bookmarkEnd w:id="189"/>
      <w:bookmarkEnd w:id="19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91" w:name="_Toc28577"/>
      <w:bookmarkStart w:id="192" w:name="_Toc10072"/>
      <w:bookmarkStart w:id="193" w:name="_Toc25930"/>
      <w:bookmarkStart w:id="194" w:name="_Toc22696"/>
      <w:bookmarkStart w:id="195" w:name="_Toc5642"/>
      <w:r>
        <w:rPr>
          <w:rFonts w:hint="eastAsia" w:asciiTheme="minorEastAsia" w:hAnsiTheme="minorEastAsia" w:eastAsiaTheme="minorEastAsia" w:cstheme="minorEastAsia"/>
          <w:bCs/>
          <w:sz w:val="21"/>
          <w:szCs w:val="21"/>
        </w:rPr>
        <w:t>（3）报价超过招标文件中规定的预算金额或者最高限价的；</w:t>
      </w:r>
      <w:bookmarkEnd w:id="191"/>
      <w:bookmarkEnd w:id="192"/>
      <w:bookmarkEnd w:id="193"/>
      <w:bookmarkEnd w:id="194"/>
      <w:bookmarkEnd w:id="19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196" w:name="_Toc27835"/>
      <w:bookmarkStart w:id="197" w:name="_Toc25240"/>
      <w:bookmarkStart w:id="198" w:name="_Toc23855"/>
      <w:bookmarkStart w:id="199" w:name="_Toc31446"/>
      <w:bookmarkStart w:id="200" w:name="_Toc23136"/>
      <w:r>
        <w:rPr>
          <w:rFonts w:hint="eastAsia" w:asciiTheme="minorEastAsia" w:hAnsiTheme="minorEastAsia" w:eastAsiaTheme="minorEastAsia" w:cstheme="minorEastAsia"/>
          <w:bCs/>
          <w:sz w:val="21"/>
          <w:szCs w:val="21"/>
        </w:rPr>
        <w:t>（4）投标文件含有采购人不能接受的附加条件的；</w:t>
      </w:r>
      <w:bookmarkEnd w:id="196"/>
      <w:bookmarkEnd w:id="197"/>
      <w:bookmarkEnd w:id="198"/>
      <w:bookmarkEnd w:id="199"/>
      <w:bookmarkEnd w:id="20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201" w:name="_Toc31999"/>
      <w:bookmarkStart w:id="202" w:name="_Toc12919"/>
      <w:bookmarkStart w:id="203" w:name="_Toc10789"/>
      <w:bookmarkStart w:id="204" w:name="_Toc12924"/>
      <w:bookmarkStart w:id="205" w:name="_Toc23617"/>
      <w:r>
        <w:rPr>
          <w:rFonts w:hint="eastAsia" w:asciiTheme="minorEastAsia" w:hAnsiTheme="minorEastAsia" w:eastAsiaTheme="minorEastAsia" w:cstheme="minorEastAsia"/>
          <w:bCs/>
          <w:sz w:val="21"/>
          <w:szCs w:val="21"/>
        </w:rPr>
        <w:t>（5）不符合第四章招标项目</w:t>
      </w:r>
      <w:r>
        <w:rPr>
          <w:rFonts w:hint="eastAsia" w:asciiTheme="minorEastAsia" w:hAnsiTheme="minorEastAsia" w:eastAsiaTheme="minorEastAsia" w:cstheme="minorEastAsia"/>
          <w:bCs/>
          <w:sz w:val="21"/>
          <w:szCs w:val="21"/>
          <w:lang w:eastAsia="zh-CN"/>
        </w:rPr>
        <w:t>采购内容</w:t>
      </w:r>
      <w:r>
        <w:rPr>
          <w:rFonts w:hint="eastAsia" w:asciiTheme="minorEastAsia" w:hAnsiTheme="minorEastAsia" w:eastAsiaTheme="minorEastAsia" w:cstheme="minorEastAsia"/>
          <w:bCs/>
          <w:sz w:val="21"/>
          <w:szCs w:val="21"/>
        </w:rPr>
        <w:t>及服务要求的；</w:t>
      </w:r>
      <w:bookmarkEnd w:id="201"/>
      <w:bookmarkEnd w:id="202"/>
      <w:bookmarkEnd w:id="203"/>
      <w:bookmarkEnd w:id="204"/>
      <w:bookmarkEnd w:id="205"/>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Cs/>
          <w:sz w:val="21"/>
          <w:szCs w:val="21"/>
        </w:rPr>
      </w:pPr>
      <w:bookmarkStart w:id="206" w:name="_Toc10314"/>
      <w:bookmarkStart w:id="207" w:name="_Toc25145"/>
      <w:bookmarkStart w:id="208" w:name="_Toc4844"/>
      <w:bookmarkStart w:id="209" w:name="_Toc10310"/>
      <w:bookmarkStart w:id="210" w:name="_Toc6267"/>
      <w:r>
        <w:rPr>
          <w:rFonts w:hint="eastAsia" w:asciiTheme="minorEastAsia" w:hAnsiTheme="minorEastAsia" w:eastAsiaTheme="minorEastAsia" w:cstheme="minorEastAsia"/>
          <w:bCs/>
          <w:sz w:val="21"/>
          <w:szCs w:val="21"/>
        </w:rPr>
        <w:t>（6）法律、法规和招标文件规定的其他无效情形。</w:t>
      </w:r>
      <w:bookmarkEnd w:id="206"/>
      <w:bookmarkEnd w:id="207"/>
      <w:bookmarkEnd w:id="208"/>
      <w:bookmarkEnd w:id="209"/>
      <w:bookmarkEnd w:id="210"/>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投标报价有算数错误的，评标委员会按以下原则对投标报价进行修正，修正的价格经供应商书面确认后具有约束力。供应商不接受修正价格的，其投标作无效投标处理。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（1）投标文件中的大写金额与小写金额不一致的，以大写金额为准；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（2）投标文件中开标一览表(报价表)内容与投标文件中明细表内容不一致的，以开标一览表(报价表)为准。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详细评审</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评标委员会按综合评分法进行评审，在全部满足招标文件实质性要求的前提下，最终得分高的供应商作为中标候选人。</w:t>
      </w:r>
    </w:p>
    <w:p>
      <w:pPr>
        <w:keepNext w:val="0"/>
        <w:keepLines w:val="0"/>
        <w:pageBreakBefore w:val="0"/>
        <w:widowControl w:val="0"/>
        <w:kinsoku/>
        <w:wordWrap/>
        <w:overflowPunct/>
        <w:topLinePunct w:val="0"/>
        <w:autoSpaceDE/>
        <w:autoSpaceDN/>
        <w:bidi w:val="0"/>
        <w:snapToGrid/>
        <w:spacing w:line="440" w:lineRule="exact"/>
        <w:ind w:firstLine="315" w:firstLineChars="150"/>
        <w:outlineLvl w:val="9"/>
        <w:rPr>
          <w:rFonts w:hint="eastAsia" w:asciiTheme="minorEastAsia" w:hAnsiTheme="minorEastAsia" w:eastAsiaTheme="minorEastAsia" w:cstheme="minorEastAsia"/>
          <w:color w:val="auto"/>
          <w:spacing w:val="-2"/>
          <w:kern w:val="0"/>
          <w:szCs w:val="21"/>
        </w:rPr>
      </w:pPr>
      <w:r>
        <w:rPr>
          <w:rFonts w:hint="eastAsia" w:asciiTheme="minorEastAsia" w:hAnsiTheme="minorEastAsia" w:eastAsiaTheme="minorEastAsia" w:cstheme="minorEastAsia"/>
          <w:color w:val="auto"/>
          <w:kern w:val="0"/>
          <w:szCs w:val="21"/>
        </w:rPr>
        <w:t>2.2</w:t>
      </w:r>
      <w:r>
        <w:rPr>
          <w:rFonts w:hint="eastAsia" w:asciiTheme="minorEastAsia" w:hAnsiTheme="minorEastAsia" w:eastAsiaTheme="minorEastAsia" w:cstheme="minorEastAsia"/>
          <w:color w:val="auto"/>
          <w:spacing w:val="-2"/>
          <w:kern w:val="0"/>
          <w:szCs w:val="21"/>
        </w:rPr>
        <w:t>评标委员会根据政府采购法及其相关规定，对有效投标、符合价格折扣条件的供应商，按照价格</w:t>
      </w:r>
    </w:p>
    <w:p>
      <w:pPr>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color w:val="auto"/>
          <w:spacing w:val="-2"/>
          <w:kern w:val="0"/>
          <w:szCs w:val="21"/>
        </w:rPr>
      </w:pPr>
      <w:r>
        <w:rPr>
          <w:rFonts w:hint="eastAsia" w:asciiTheme="minorEastAsia" w:hAnsiTheme="minorEastAsia" w:eastAsiaTheme="minorEastAsia" w:cstheme="minorEastAsia"/>
          <w:color w:val="auto"/>
          <w:spacing w:val="-2"/>
          <w:kern w:val="0"/>
          <w:szCs w:val="21"/>
        </w:rPr>
        <w:t>调整因素及比例进行投标报价调整。供应商是小型或微型企业(残疾人福利性单位、监狱企业均视同小型微</w:t>
      </w:r>
    </w:p>
    <w:p>
      <w:pPr>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b/>
          <w:color w:val="auto"/>
          <w:spacing w:val="-2"/>
          <w:kern w:val="0"/>
          <w:szCs w:val="21"/>
        </w:rPr>
      </w:pPr>
      <w:r>
        <w:rPr>
          <w:rFonts w:hint="eastAsia" w:asciiTheme="minorEastAsia" w:hAnsiTheme="minorEastAsia" w:eastAsiaTheme="minorEastAsia" w:cstheme="minorEastAsia"/>
          <w:color w:val="auto"/>
          <w:spacing w:val="-2"/>
          <w:kern w:val="0"/>
          <w:szCs w:val="21"/>
        </w:rPr>
        <w:t>型企业)的，给予投标报价6%的价格扣除。</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 在评标过程中，评标委员会发现供应商的报价明显低于成本价时，评标委员会可向该供应商提出询问，要求该供应商作出书面说明并提供相关证明材料。供应商不能合理说明及不能提供相关证明材料的，评标委员会认定该供应商以低于成本价恶意竞标，其投标作废标处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投标文件的澄清和补正</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在评标过程中，评标委员会可以书面形式要求供应商对所提交投标文件中不明确的内容进行书面澄清或说明，或者对细微偏差进行补正。</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澄清、说明和补正不得改变投标文件的实质性内容（算术性错误修正的除外）。供应商的书面澄清、说明和补正属于投标文件的组成部分。</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评标结果</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 评标委员会按综合评分法进行评审。评标结果按评审后得分由高到低顺序排列。得分相同的，按投标报价由低到高顺序排列。得分且投标报价相同的，投标文件满足招标文件全部实质性要求，且按照评审因素的量化指标评审得分最高的供应商为排名第一的中标候选人。</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 评标委员会完成评标后，应当向采购人提交书面评标报告。</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顺延中标人或重新招标</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中标人因不可抗力不能履行政府采购合同的，采购人重新招标。</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特殊情况的处置程序</w:t>
      </w:r>
    </w:p>
    <w:p>
      <w:pPr>
        <w:pStyle w:val="9"/>
        <w:keepNext w:val="0"/>
        <w:keepLines w:val="0"/>
        <w:pageBreakBefore w:val="0"/>
        <w:widowControl w:val="0"/>
        <w:kinsoku/>
        <w:wordWrap/>
        <w:overflowPunct/>
        <w:topLinePunct w:val="0"/>
        <w:autoSpaceDE/>
        <w:autoSpaceDN/>
        <w:bidi w:val="0"/>
        <w:snapToGrid/>
        <w:spacing w:line="440" w:lineRule="exact"/>
        <w:ind w:firstLine="630" w:firstLineChars="300"/>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关于评标活动暂停</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6.1评标委员会应当执行连续评标的原则，按评标办法中规定的程序、内容、方法、标准完成全部评标工作。只有发生不可抗力导致评标工作无法继续时，评标活动方可暂停。</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6.2发生评标暂停情况时，评标委员会应当封存全部投标文件和评标记录，待不可抗力的影响结束且具备继续评标的条件时，由原评标委员会继续评标。</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关于评标中途更换评标委员会成员</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6.3除非发生下列情况之一，评标委员会成员不得在评标中途更换：</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（1）因不可抗拒的客观原因，不能到场或需在评标中途退出评标活动。</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（2）根据法律法规规定，某个或某几个评标委员会成员需要回避。</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6.4退出评标的评标委员会成员，其已完成的评标行为无效。由采购人根据本招标文件规定的评标委员会成员产生方式另行确定替代者进行评标。</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6.5评标过程中，评标委员会成员有回避事由、擅离职守或者因健康等原因不能继续评标的，应当及时更换。被更换的评标委员会成员作出的评审结论无效，由更换后的评标委员会成员重新进行评审。</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6.6在任何评标环节中，需评标委员会就某项定性的评审结论做出表决的，由评标委员会全体成员按照少数服从多数的原则，以记名投票方式表决。</w:t>
      </w:r>
    </w:p>
    <w:p>
      <w:pPr>
        <w:pStyle w:val="9"/>
        <w:keepNext w:val="0"/>
        <w:keepLines w:val="0"/>
        <w:pageBreakBefore w:val="0"/>
        <w:widowControl w:val="0"/>
        <w:kinsoku/>
        <w:wordWrap/>
        <w:overflowPunct/>
        <w:topLinePunct w:val="0"/>
        <w:autoSpaceDE/>
        <w:autoSpaceDN/>
        <w:bidi w:val="0"/>
        <w:snapToGrid/>
        <w:spacing w:line="440" w:lineRule="exact"/>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6.7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pStyle w:val="9"/>
        <w:rPr>
          <w:rFonts w:hint="eastAsia" w:asciiTheme="minorEastAsia" w:hAnsiTheme="minorEastAsia" w:eastAsiaTheme="minorEastAsia" w:cstheme="minorEastAsia"/>
          <w:kern w:val="2"/>
          <w:sz w:val="21"/>
          <w:szCs w:val="21"/>
        </w:rPr>
      </w:pPr>
    </w:p>
    <w:p>
      <w:pPr>
        <w:pStyle w:val="27"/>
        <w:jc w:val="both"/>
        <w:rPr>
          <w:rFonts w:hint="eastAsia" w:asciiTheme="minorEastAsia" w:hAnsiTheme="minorEastAsia" w:eastAsiaTheme="minorEastAsia" w:cstheme="minorEastAsia"/>
        </w:rPr>
      </w:pPr>
      <w:bookmarkStart w:id="211" w:name="_Toc26541"/>
      <w:bookmarkStart w:id="212" w:name="_Toc6017"/>
    </w:p>
    <w:p>
      <w:pPr>
        <w:rPr>
          <w:rFonts w:hint="eastAsia"/>
        </w:rPr>
      </w:pPr>
    </w:p>
    <w:p>
      <w:pPr>
        <w:pStyle w:val="27"/>
        <w:rPr>
          <w:rFonts w:hint="eastAsia" w:asciiTheme="minorEastAsia" w:hAnsiTheme="minorEastAsia" w:eastAsiaTheme="minorEastAsia" w:cstheme="minorEastAsia"/>
        </w:rPr>
      </w:pPr>
    </w:p>
    <w:p>
      <w:pPr>
        <w:pStyle w:val="27"/>
        <w:rPr>
          <w:rFonts w:hint="eastAsia" w:asciiTheme="minorEastAsia" w:hAnsiTheme="minorEastAsia" w:eastAsiaTheme="minorEastAsia" w:cstheme="minorEastAsia"/>
        </w:rPr>
      </w:pPr>
    </w:p>
    <w:p>
      <w:pPr>
        <w:pStyle w:val="27"/>
        <w:rPr>
          <w:rFonts w:hint="eastAsia" w:asciiTheme="minorEastAsia" w:hAnsiTheme="minorEastAsia" w:eastAsiaTheme="minorEastAsia" w:cstheme="minorEastAsia"/>
        </w:rPr>
      </w:pPr>
    </w:p>
    <w:p>
      <w:pPr>
        <w:pStyle w:val="27"/>
        <w:rPr>
          <w:rFonts w:hint="eastAsia" w:asciiTheme="minorEastAsia" w:hAnsiTheme="minorEastAsia" w:eastAsiaTheme="minorEastAsia" w:cstheme="minorEastAsia"/>
        </w:rPr>
      </w:pPr>
    </w:p>
    <w:p>
      <w:pPr>
        <w:pStyle w:val="27"/>
        <w:rPr>
          <w:rFonts w:hint="eastAsia" w:asciiTheme="minorEastAsia" w:hAnsiTheme="minorEastAsia" w:eastAsiaTheme="minorEastAsia" w:cstheme="minorEastAsia"/>
        </w:rPr>
      </w:pPr>
      <w:bookmarkStart w:id="353" w:name="_GoBack"/>
      <w:bookmarkEnd w:id="353"/>
      <w:r>
        <w:rPr>
          <w:rFonts w:hint="eastAsia" w:asciiTheme="minorEastAsia" w:hAnsiTheme="minorEastAsia" w:eastAsiaTheme="minorEastAsia" w:cstheme="minorEastAsia"/>
        </w:rPr>
        <w:t>第四章</w:t>
      </w:r>
      <w:bookmarkEnd w:id="148"/>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招标项目</w:t>
      </w:r>
      <w:r>
        <w:rPr>
          <w:rFonts w:hint="eastAsia" w:asciiTheme="minorEastAsia" w:hAnsiTheme="minorEastAsia" w:eastAsiaTheme="minorEastAsia" w:cstheme="minorEastAsia"/>
          <w:lang w:eastAsia="zh-CN"/>
        </w:rPr>
        <w:t>采购内容</w:t>
      </w:r>
      <w:r>
        <w:rPr>
          <w:rFonts w:hint="eastAsia" w:asciiTheme="minorEastAsia" w:hAnsiTheme="minorEastAsia" w:eastAsiaTheme="minorEastAsia" w:cstheme="minorEastAsia"/>
        </w:rPr>
        <w:t>及服务要求</w:t>
      </w:r>
      <w:bookmarkEnd w:id="211"/>
      <w:bookmarkEnd w:id="212"/>
    </w:p>
    <w:tbl>
      <w:tblPr>
        <w:tblStyle w:val="40"/>
        <w:tblW w:w="9660" w:type="dxa"/>
        <w:tblInd w:w="78" w:type="dxa"/>
        <w:tblLayout w:type="fixed"/>
        <w:tblCellMar>
          <w:top w:w="0" w:type="dxa"/>
          <w:left w:w="0" w:type="dxa"/>
          <w:bottom w:w="0" w:type="dxa"/>
          <w:right w:w="0" w:type="dxa"/>
        </w:tblCellMar>
      </w:tblPr>
      <w:tblGrid>
        <w:gridCol w:w="795"/>
        <w:gridCol w:w="1980"/>
        <w:gridCol w:w="5355"/>
        <w:gridCol w:w="735"/>
        <w:gridCol w:w="795"/>
      </w:tblGrid>
      <w:tr>
        <w:tblPrEx>
          <w:tblLayout w:type="fixed"/>
          <w:tblCellMar>
            <w:top w:w="0" w:type="dxa"/>
            <w:left w:w="0" w:type="dxa"/>
            <w:bottom w:w="0" w:type="dxa"/>
            <w:right w:w="0" w:type="dxa"/>
          </w:tblCellMar>
        </w:tblPrEx>
        <w:trPr>
          <w:trHeight w:val="51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项目名称</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技术参数</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单位</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数量</w:t>
            </w:r>
          </w:p>
        </w:tc>
      </w:tr>
      <w:tr>
        <w:tblPrEx>
          <w:tblLayout w:type="fixed"/>
          <w:tblCellMar>
            <w:top w:w="0" w:type="dxa"/>
            <w:left w:w="0" w:type="dxa"/>
            <w:bottom w:w="0" w:type="dxa"/>
            <w:right w:w="0" w:type="dxa"/>
          </w:tblCellMar>
        </w:tblPrEx>
        <w:trPr>
          <w:trHeight w:val="36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1"/>
                <w:szCs w:val="21"/>
              </w:rPr>
            </w:pPr>
            <w:r>
              <w:rPr>
                <w:rFonts w:hint="eastAsia" w:ascii="宋体" w:hAnsi="宋体" w:cs="宋体"/>
                <w:b w:val="0"/>
                <w:bCs/>
                <w:color w:val="000000"/>
                <w:kern w:val="0"/>
                <w:sz w:val="21"/>
                <w:szCs w:val="21"/>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整体文化内容策划</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1：文化内容的策划符合“河南省卫生健康委员会关于河南省中医药文化宣传教育基地”的需求；</w:t>
            </w:r>
          </w:p>
          <w:p>
            <w:pPr>
              <w:widowControl/>
              <w:spacing w:line="360" w:lineRule="auto"/>
              <w:jc w:val="both"/>
              <w:textAlignment w:val="center"/>
              <w:rPr>
                <w:rFonts w:hint="eastAsia"/>
                <w:lang w:val="en-US" w:eastAsia="zh-CN"/>
              </w:rPr>
            </w:pPr>
            <w:r>
              <w:rPr>
                <w:rFonts w:hint="eastAsia"/>
                <w:lang w:val="en-US" w:eastAsia="zh-CN"/>
              </w:rPr>
              <w:t>2：包括但不仅限于医院的品牌文化、中原中医药文化、中医通用经典文化、温县地方中医药文化等不同的主题；</w:t>
            </w:r>
          </w:p>
          <w:p>
            <w:pPr>
              <w:widowControl/>
              <w:spacing w:line="360" w:lineRule="auto"/>
              <w:jc w:val="both"/>
              <w:textAlignment w:val="center"/>
              <w:rPr>
                <w:rFonts w:hint="default"/>
                <w:lang w:val="en-US" w:eastAsia="zh-CN"/>
              </w:rPr>
            </w:pPr>
            <w:r>
              <w:rPr>
                <w:rFonts w:hint="eastAsia"/>
                <w:lang w:val="en-US" w:eastAsia="zh-CN"/>
              </w:rPr>
              <w:t>2：文化内容分布合理，与空间的人流量和医疗功能相适配；</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76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2</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文化造型设计风格</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1：现代简约新中式的设计风格，规矩稳重；</w:t>
            </w:r>
          </w:p>
          <w:p>
            <w:pPr>
              <w:widowControl/>
              <w:spacing w:line="360" w:lineRule="auto"/>
              <w:jc w:val="both"/>
              <w:textAlignment w:val="center"/>
              <w:rPr>
                <w:rFonts w:hint="eastAsia"/>
                <w:lang w:val="en-US" w:eastAsia="zh-CN"/>
              </w:rPr>
            </w:pPr>
            <w:r>
              <w:rPr>
                <w:rFonts w:hint="eastAsia"/>
                <w:lang w:val="en-US" w:eastAsia="zh-CN"/>
              </w:rPr>
              <w:t>2：色彩让人感觉温馨舒适；</w:t>
            </w:r>
          </w:p>
          <w:p>
            <w:pPr>
              <w:widowControl/>
              <w:spacing w:line="360" w:lineRule="auto"/>
              <w:jc w:val="both"/>
              <w:textAlignment w:val="center"/>
              <w:rPr>
                <w:rFonts w:hint="default"/>
                <w:lang w:val="en-US" w:eastAsia="zh-CN"/>
              </w:rPr>
            </w:pPr>
            <w:r>
              <w:rPr>
                <w:rFonts w:hint="eastAsia"/>
                <w:lang w:val="en-US" w:eastAsia="zh-CN"/>
              </w:rPr>
              <w:t>3：文化造型与装修风格紧密契合，和谐美观，相关医疗功能配套完善；</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61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3</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 xml:space="preserve"> 门诊一楼大厅</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1：文化内容：应该包含温县中医院品牌文化浮雕、坐诊医生介绍、科室介绍、温县地方中医药文化浮雕、张仲景雕像景观等；</w:t>
            </w:r>
          </w:p>
          <w:p>
            <w:pPr>
              <w:widowControl/>
              <w:spacing w:line="360" w:lineRule="auto"/>
              <w:jc w:val="both"/>
              <w:textAlignment w:val="center"/>
              <w:rPr>
                <w:rFonts w:hint="default"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2：文化造型材质：浮雕和雕塑采用高分子玻璃钢材质，厚度不低于2cm；</w:t>
            </w:r>
            <w:r>
              <w:rPr>
                <w:rFonts w:hint="eastAsia" w:cs="Times New Roman"/>
                <w:b w:val="0"/>
                <w:kern w:val="2"/>
                <w:sz w:val="21"/>
                <w:szCs w:val="22"/>
                <w:lang w:val="en-US" w:eastAsia="zh-CN" w:bidi="ar-SA"/>
              </w:rPr>
              <w:t>科室介绍和医生介绍需要插卡可替换，亚克力材质；</w:t>
            </w:r>
          </w:p>
          <w:p>
            <w:pPr>
              <w:widowControl/>
              <w:spacing w:line="360" w:lineRule="auto"/>
              <w:jc w:val="both"/>
              <w:textAlignment w:val="center"/>
              <w:rPr>
                <w:rFonts w:hint="default"/>
                <w:lang w:val="en-US" w:eastAsia="zh-CN"/>
              </w:rPr>
            </w:pPr>
            <w:r>
              <w:rPr>
                <w:rFonts w:hint="eastAsia"/>
                <w:lang w:val="en-US" w:eastAsia="zh-CN"/>
              </w:rPr>
              <w:t>3：装修材质要求：地面用耐磨防滑地砖，墙面用墙砖，超过3m以上需要采用干挂工艺；电梯厅/诊区门套采用金属氟碳漆工艺，长久耐用；</w:t>
            </w:r>
          </w:p>
          <w:p>
            <w:pPr>
              <w:widowControl/>
              <w:spacing w:line="360" w:lineRule="auto"/>
              <w:jc w:val="both"/>
              <w:textAlignment w:val="center"/>
              <w:rPr>
                <w:rFonts w:hint="default"/>
                <w:lang w:val="en-US" w:eastAsia="zh-CN"/>
              </w:rPr>
            </w:pPr>
            <w:r>
              <w:rPr>
                <w:rFonts w:hint="eastAsia" w:cs="Times New Roman"/>
                <w:b w:val="0"/>
                <w:bCs w:val="0"/>
                <w:kern w:val="2"/>
                <w:sz w:val="21"/>
                <w:szCs w:val="21"/>
                <w:lang w:val="en-US" w:eastAsia="zh-CN" w:bidi="ar-SA"/>
              </w:rPr>
              <w:t>4</w:t>
            </w:r>
            <w:r>
              <w:rPr>
                <w:rFonts w:hint="eastAsia" w:ascii="Times New Roman" w:hAnsi="Times New Roman" w:eastAsia="宋体" w:cs="Times New Roman"/>
                <w:b w:val="0"/>
                <w:bCs w:val="0"/>
                <w:kern w:val="2"/>
                <w:sz w:val="21"/>
                <w:szCs w:val="21"/>
                <w:lang w:val="en-US" w:eastAsia="zh-CN" w:bidi="ar-SA"/>
              </w:rPr>
              <w:t>：</w:t>
            </w:r>
            <w:r>
              <w:rPr>
                <w:rFonts w:hint="eastAsia" w:cs="Times New Roman"/>
                <w:b w:val="0"/>
                <w:bCs w:val="0"/>
                <w:kern w:val="2"/>
                <w:sz w:val="21"/>
                <w:szCs w:val="21"/>
                <w:lang w:val="en-US" w:eastAsia="zh-CN" w:bidi="ar-SA"/>
              </w:rPr>
              <w:t>样式</w:t>
            </w:r>
            <w:r>
              <w:rPr>
                <w:rFonts w:hint="eastAsia" w:ascii="Times New Roman" w:hAnsi="Times New Roman" w:eastAsia="宋体" w:cs="Times New Roman"/>
                <w:b w:val="0"/>
                <w:bCs w:val="0"/>
                <w:kern w:val="2"/>
                <w:sz w:val="21"/>
                <w:szCs w:val="21"/>
                <w:lang w:val="en-US" w:eastAsia="zh-CN" w:bidi="ar-SA"/>
              </w:rPr>
              <w:t>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不少于6项</w:t>
            </w:r>
          </w:p>
        </w:tc>
      </w:tr>
      <w:tr>
        <w:tblPrEx>
          <w:tblLayout w:type="fixed"/>
          <w:tblCellMar>
            <w:top w:w="0" w:type="dxa"/>
            <w:left w:w="0" w:type="dxa"/>
            <w:bottom w:w="0" w:type="dxa"/>
            <w:right w:w="0" w:type="dxa"/>
          </w:tblCellMar>
        </w:tblPrEx>
        <w:trPr>
          <w:trHeight w:val="49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门诊一楼南北长廊</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1：文化内容：应该包含中原地域的中医药主题文化展示；形式应该包含古代中医器具、展柜、水晶中药标本、文字、图片等。</w:t>
            </w:r>
          </w:p>
          <w:p>
            <w:pPr>
              <w:widowControl/>
              <w:spacing w:line="360" w:lineRule="auto"/>
              <w:jc w:val="both"/>
              <w:textAlignment w:val="center"/>
              <w:rPr>
                <w:rFonts w:hint="default"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采用艺术微喷工艺生产；展柜采用钢化白玻璃/麻布硬包底座;展品要求60%以上是中医药类旧物件，非新品；水晶中药标本不少于60瓶，采用防腐处理，液体透明，不浑浊；</w:t>
            </w:r>
          </w:p>
          <w:p>
            <w:pPr>
              <w:widowControl/>
              <w:spacing w:line="360" w:lineRule="auto"/>
              <w:jc w:val="both"/>
              <w:textAlignment w:val="center"/>
              <w:rPr>
                <w:rFonts w:hint="default"/>
                <w:lang w:val="en-US" w:eastAsia="zh-CN"/>
              </w:rPr>
            </w:pPr>
            <w:r>
              <w:rPr>
                <w:rFonts w:hint="eastAsia"/>
                <w:lang w:val="en-US" w:eastAsia="zh-CN"/>
              </w:rPr>
              <w:t>3：装修材质要求：地面用耐磨防滑地砖，墙面用墙砖；电梯厅/诊区门套采用金属氟碳漆工艺，长久耐用；</w:t>
            </w:r>
          </w:p>
          <w:p>
            <w:pPr>
              <w:widowControl/>
              <w:spacing w:line="360" w:lineRule="auto"/>
              <w:jc w:val="both"/>
              <w:textAlignment w:val="center"/>
              <w:rPr>
                <w:rFonts w:hint="eastAsia"/>
                <w:lang w:val="en-US" w:eastAsia="zh-CN"/>
              </w:rPr>
            </w:pPr>
            <w:r>
              <w:rPr>
                <w:rFonts w:hint="eastAsia" w:cs="Times New Roman"/>
                <w:b w:val="0"/>
                <w:bCs w:val="0"/>
                <w:kern w:val="2"/>
                <w:sz w:val="21"/>
                <w:szCs w:val="21"/>
                <w:lang w:val="en-US" w:eastAsia="zh-CN" w:bidi="ar-SA"/>
              </w:rPr>
              <w:t>4</w:t>
            </w:r>
            <w:r>
              <w:rPr>
                <w:rFonts w:hint="eastAsia" w:ascii="Times New Roman" w:hAnsi="Times New Roman" w:eastAsia="宋体" w:cs="Times New Roman"/>
                <w:b w:val="0"/>
                <w:bCs w:val="0"/>
                <w:kern w:val="2"/>
                <w:sz w:val="21"/>
                <w:szCs w:val="21"/>
                <w:lang w:val="en-US" w:eastAsia="zh-CN" w:bidi="ar-SA"/>
              </w:rPr>
              <w:t>：</w:t>
            </w:r>
            <w:r>
              <w:rPr>
                <w:rFonts w:hint="eastAsia" w:cs="Times New Roman"/>
                <w:b w:val="0"/>
                <w:bCs w:val="0"/>
                <w:kern w:val="2"/>
                <w:sz w:val="21"/>
                <w:szCs w:val="21"/>
                <w:lang w:val="en-US" w:eastAsia="zh-CN" w:bidi="ar-SA"/>
              </w:rPr>
              <w:t>样式</w:t>
            </w:r>
            <w:r>
              <w:rPr>
                <w:rFonts w:hint="eastAsia" w:ascii="Times New Roman" w:hAnsi="Times New Roman" w:eastAsia="宋体" w:cs="Times New Roman"/>
                <w:b w:val="0"/>
                <w:bCs w:val="0"/>
                <w:kern w:val="2"/>
                <w:sz w:val="21"/>
                <w:szCs w:val="21"/>
                <w:lang w:val="en-US" w:eastAsia="zh-CN" w:bidi="ar-SA"/>
              </w:rPr>
              <w:t>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不少于6项</w:t>
            </w:r>
          </w:p>
        </w:tc>
      </w:tr>
      <w:tr>
        <w:tblPrEx>
          <w:tblLayout w:type="fixed"/>
          <w:tblCellMar>
            <w:top w:w="0" w:type="dxa"/>
            <w:left w:w="0" w:type="dxa"/>
            <w:bottom w:w="0" w:type="dxa"/>
            <w:right w:w="0" w:type="dxa"/>
          </w:tblCellMar>
        </w:tblPrEx>
        <w:trPr>
          <w:trHeight w:val="64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5</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门诊一楼中药房候药区</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1：文化内容：应该包含中药使用的注意事项、常见中药材标本和优劣鉴别；形式应该包含与内容相匹配的古代中医器具、文字、图片等。</w:t>
            </w:r>
          </w:p>
          <w:p>
            <w:pPr>
              <w:widowControl/>
              <w:spacing w:line="360" w:lineRule="auto"/>
              <w:jc w:val="both"/>
              <w:textAlignment w:val="center"/>
              <w:rPr>
                <w:rFonts w:hint="default" w:ascii="Times New Roman" w:hAnsi="Times New Roman" w:eastAsia="宋体" w:cs="Times New Roman"/>
                <w:b w:val="0"/>
                <w:kern w:val="2"/>
                <w:sz w:val="21"/>
                <w:szCs w:val="22"/>
                <w:lang w:val="en-US" w:eastAsia="zh-CN" w:bidi="ar-SA"/>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采用艺术微喷工艺生产；展柜采用钢化白玻璃/麻布硬包底座;展品要求40%以上是中医药类旧物件，非新品；</w:t>
            </w:r>
          </w:p>
          <w:p>
            <w:pPr>
              <w:widowControl/>
              <w:spacing w:line="360" w:lineRule="auto"/>
              <w:jc w:val="both"/>
              <w:textAlignment w:val="center"/>
              <w:rPr>
                <w:rFonts w:hint="default"/>
                <w:lang w:val="en-US" w:eastAsia="zh-CN"/>
              </w:rPr>
            </w:pPr>
            <w:r>
              <w:rPr>
                <w:rFonts w:hint="eastAsia"/>
                <w:lang w:val="en-US" w:eastAsia="zh-CN"/>
              </w:rPr>
              <w:t>3：装修材质要求：地面用耐磨防滑地砖，墙面用墙砖；</w:t>
            </w:r>
          </w:p>
          <w:p>
            <w:pPr>
              <w:widowControl/>
              <w:spacing w:line="360" w:lineRule="auto"/>
              <w:jc w:val="both"/>
              <w:textAlignment w:val="center"/>
              <w:rPr>
                <w:rFonts w:hint="default"/>
                <w:lang w:val="en-US" w:eastAsia="zh-CN"/>
              </w:rPr>
            </w:pPr>
            <w:r>
              <w:rPr>
                <w:rFonts w:hint="eastAsia" w:cs="Times New Roman"/>
                <w:b w:val="0"/>
                <w:bCs w:val="0"/>
                <w:kern w:val="2"/>
                <w:sz w:val="21"/>
                <w:szCs w:val="21"/>
                <w:lang w:val="en-US" w:eastAsia="zh-CN" w:bidi="ar-SA"/>
              </w:rPr>
              <w:t>4</w:t>
            </w:r>
            <w:r>
              <w:rPr>
                <w:rFonts w:hint="eastAsia" w:ascii="Times New Roman" w:hAnsi="Times New Roman" w:eastAsia="宋体" w:cs="Times New Roman"/>
                <w:b w:val="0"/>
                <w:bCs w:val="0"/>
                <w:kern w:val="2"/>
                <w:sz w:val="21"/>
                <w:szCs w:val="21"/>
                <w:lang w:val="en-US" w:eastAsia="zh-CN" w:bidi="ar-SA"/>
              </w:rPr>
              <w:t>：</w:t>
            </w:r>
            <w:r>
              <w:rPr>
                <w:rFonts w:hint="eastAsia" w:cs="Times New Roman"/>
                <w:b w:val="0"/>
                <w:bCs w:val="0"/>
                <w:kern w:val="2"/>
                <w:sz w:val="21"/>
                <w:szCs w:val="21"/>
                <w:lang w:val="en-US" w:eastAsia="zh-CN" w:bidi="ar-SA"/>
              </w:rPr>
              <w:t>样式</w:t>
            </w:r>
            <w:r>
              <w:rPr>
                <w:rFonts w:hint="eastAsia" w:ascii="Times New Roman" w:hAnsi="Times New Roman" w:eastAsia="宋体" w:cs="Times New Roman"/>
                <w:b w:val="0"/>
                <w:bCs w:val="0"/>
                <w:kern w:val="2"/>
                <w:sz w:val="21"/>
                <w:szCs w:val="21"/>
                <w:lang w:val="en-US" w:eastAsia="zh-CN" w:bidi="ar-SA"/>
              </w:rPr>
              <w:t>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不少于2项</w:t>
            </w:r>
          </w:p>
        </w:tc>
      </w:tr>
      <w:tr>
        <w:tblPrEx>
          <w:tblLayout w:type="fixed"/>
          <w:tblCellMar>
            <w:top w:w="0" w:type="dxa"/>
            <w:left w:w="0" w:type="dxa"/>
            <w:bottom w:w="0" w:type="dxa"/>
            <w:right w:w="0" w:type="dxa"/>
          </w:tblCellMar>
        </w:tblPrEx>
        <w:trPr>
          <w:trHeight w:val="64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6</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门诊一楼一个天井区</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210" w:firstLineChars="100"/>
              <w:jc w:val="both"/>
              <w:textAlignment w:val="center"/>
              <w:rPr>
                <w:rFonts w:hint="eastAsia"/>
                <w:lang w:val="en-US" w:eastAsia="zh-CN"/>
              </w:rPr>
            </w:pPr>
            <w:r>
              <w:rPr>
                <w:rFonts w:hint="eastAsia"/>
                <w:lang w:val="en-US" w:eastAsia="zh-CN"/>
              </w:rPr>
              <w:t>设计温县中医院有关的文化景观(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7</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b w:val="0"/>
                <w:bCs/>
                <w:color w:val="000000"/>
                <w:sz w:val="21"/>
                <w:szCs w:val="21"/>
                <w:lang w:val="en-US" w:eastAsia="zh-CN"/>
              </w:rPr>
            </w:pPr>
            <w:r>
              <w:rPr>
                <w:rFonts w:hint="eastAsia" w:ascii="宋体" w:hAnsi="宋体" w:cs="宋体"/>
                <w:b w:val="0"/>
                <w:bCs/>
                <w:color w:val="000000"/>
                <w:sz w:val="21"/>
                <w:szCs w:val="21"/>
                <w:lang w:val="en-US" w:eastAsia="zh-CN"/>
              </w:rPr>
              <w:t>门诊二楼南北长廊</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1：文化内容：应该包含医德医风，中医典故，孙思邈雕像等。</w:t>
            </w:r>
          </w:p>
          <w:p>
            <w:pPr>
              <w:widowControl/>
              <w:spacing w:line="360" w:lineRule="auto"/>
              <w:jc w:val="both"/>
              <w:textAlignment w:val="center"/>
              <w:rPr>
                <w:rFonts w:hint="default"/>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w:t>
            </w:r>
            <w:r>
              <w:rPr>
                <w:rFonts w:hint="eastAsia" w:ascii="Times New Roman" w:hAnsi="Times New Roman" w:eastAsia="宋体" w:cs="Times New Roman"/>
                <w:b w:val="0"/>
                <w:kern w:val="2"/>
                <w:sz w:val="21"/>
                <w:szCs w:val="22"/>
                <w:lang w:val="en-US" w:eastAsia="zh-CN" w:bidi="ar-SA"/>
              </w:rPr>
              <w:t>雕</w:t>
            </w:r>
            <w:r>
              <w:rPr>
                <w:rFonts w:hint="eastAsia" w:cs="Times New Roman"/>
                <w:b w:val="0"/>
                <w:kern w:val="2"/>
                <w:sz w:val="21"/>
                <w:szCs w:val="22"/>
                <w:lang w:val="en-US" w:eastAsia="zh-CN" w:bidi="ar-SA"/>
              </w:rPr>
              <w:t>像</w:t>
            </w:r>
            <w:r>
              <w:rPr>
                <w:rFonts w:hint="eastAsia" w:ascii="Times New Roman" w:hAnsi="Times New Roman" w:eastAsia="宋体" w:cs="Times New Roman"/>
                <w:b w:val="0"/>
                <w:kern w:val="2"/>
                <w:sz w:val="21"/>
                <w:szCs w:val="22"/>
                <w:lang w:val="en-US" w:eastAsia="zh-CN" w:bidi="ar-SA"/>
              </w:rPr>
              <w:t>采用高分子玻璃钢材质；</w:t>
            </w:r>
          </w:p>
          <w:p>
            <w:pPr>
              <w:widowControl/>
              <w:jc w:val="both"/>
              <w:textAlignment w:val="center"/>
              <w:rPr>
                <w:rFonts w:hint="eastAsia" w:ascii="宋体" w:hAnsi="宋体" w:eastAsia="宋体" w:cs="宋体"/>
                <w:color w:val="000000"/>
                <w:sz w:val="21"/>
                <w:szCs w:val="21"/>
              </w:rPr>
            </w:pPr>
            <w:r>
              <w:rPr>
                <w:rFonts w:hint="eastAsia"/>
                <w:lang w:val="en-US" w:eastAsia="zh-CN"/>
              </w:rPr>
              <w:t>3：样式自行设计，根据设计图样定制。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不少于8项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b w:val="0"/>
                <w:bCs/>
                <w:color w:val="000000"/>
                <w:sz w:val="21"/>
                <w:szCs w:val="21"/>
                <w:lang w:val="en-US" w:eastAsia="zh-CN"/>
              </w:rPr>
              <w:t>门诊二楼</w:t>
            </w:r>
            <w:r>
              <w:rPr>
                <w:rFonts w:hint="eastAsia" w:ascii="宋体" w:hAnsi="宋体" w:cs="宋体"/>
                <w:color w:val="000000"/>
                <w:sz w:val="21"/>
                <w:szCs w:val="21"/>
                <w:lang w:eastAsia="zh-CN"/>
              </w:rPr>
              <w:t>国医堂</w:t>
            </w:r>
            <w:r>
              <w:rPr>
                <w:rFonts w:hint="eastAsia" w:ascii="宋体" w:hAnsi="宋体" w:cs="宋体"/>
                <w:color w:val="000000"/>
                <w:sz w:val="21"/>
                <w:szCs w:val="21"/>
                <w:lang w:val="en-US" w:eastAsia="zh-CN"/>
              </w:rPr>
              <w:t xml:space="preserve"> 科室走廊和侯诊区</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1：文化内容：应该是中医经典文化主题，具体自选。</w:t>
            </w:r>
          </w:p>
          <w:p>
            <w:pPr>
              <w:widowControl/>
              <w:spacing w:line="360" w:lineRule="auto"/>
              <w:jc w:val="both"/>
              <w:textAlignment w:val="center"/>
              <w:rPr>
                <w:rFonts w:hint="default"/>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w:t>
            </w:r>
            <w:r>
              <w:rPr>
                <w:rFonts w:hint="eastAsia" w:ascii="Times New Roman" w:hAnsi="Times New Roman" w:eastAsia="宋体" w:cs="Times New Roman"/>
                <w:b w:val="0"/>
                <w:kern w:val="2"/>
                <w:sz w:val="21"/>
                <w:szCs w:val="22"/>
                <w:lang w:val="en-US" w:eastAsia="zh-CN" w:bidi="ar-SA"/>
              </w:rPr>
              <w:t>；</w:t>
            </w:r>
          </w:p>
          <w:p>
            <w:pPr>
              <w:widowControl/>
              <w:jc w:val="both"/>
              <w:textAlignment w:val="center"/>
              <w:rPr>
                <w:rFonts w:hint="eastAsia" w:ascii="宋体" w:hAnsi="宋体" w:eastAsia="宋体" w:cs="宋体"/>
                <w:color w:val="000000"/>
                <w:sz w:val="21"/>
                <w:szCs w:val="21"/>
                <w:lang w:val="en-US" w:eastAsia="zh-CN"/>
              </w:rPr>
            </w:pPr>
            <w:r>
              <w:rPr>
                <w:rFonts w:hint="eastAsia"/>
                <w:lang w:val="en-US" w:eastAsia="zh-CN"/>
              </w:rPr>
              <w:t>3：样式自行设计，根据设计图样定制。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不少于10项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cs="宋体"/>
                <w:b w:val="0"/>
                <w:bCs/>
                <w:color w:val="000000"/>
                <w:sz w:val="21"/>
                <w:szCs w:val="21"/>
                <w:lang w:val="en-US" w:eastAsia="zh-CN"/>
              </w:rPr>
              <w:t>门诊二楼</w:t>
            </w:r>
            <w:r>
              <w:rPr>
                <w:rFonts w:hint="eastAsia" w:ascii="宋体" w:hAnsi="宋体" w:cs="宋体"/>
                <w:color w:val="000000"/>
                <w:sz w:val="21"/>
                <w:szCs w:val="21"/>
                <w:lang w:eastAsia="zh-CN"/>
              </w:rPr>
              <w:t>名医堂</w:t>
            </w:r>
            <w:r>
              <w:rPr>
                <w:rFonts w:hint="eastAsia" w:ascii="宋体" w:hAnsi="宋体" w:cs="宋体"/>
                <w:color w:val="000000"/>
                <w:sz w:val="21"/>
                <w:szCs w:val="21"/>
                <w:lang w:val="en-US" w:eastAsia="zh-CN"/>
              </w:rPr>
              <w:t xml:space="preserve"> 科室走廊和侯诊区</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1：文化内容：应该是中医经典文化主题，具体自选。</w:t>
            </w:r>
          </w:p>
          <w:p>
            <w:pPr>
              <w:widowControl/>
              <w:spacing w:line="360" w:lineRule="auto"/>
              <w:jc w:val="both"/>
              <w:textAlignment w:val="center"/>
              <w:rPr>
                <w:rFonts w:hint="default"/>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w:t>
            </w:r>
            <w:r>
              <w:rPr>
                <w:rFonts w:hint="eastAsia" w:ascii="Times New Roman" w:hAnsi="Times New Roman" w:eastAsia="宋体" w:cs="Times New Roman"/>
                <w:b w:val="0"/>
                <w:kern w:val="2"/>
                <w:sz w:val="21"/>
                <w:szCs w:val="22"/>
                <w:lang w:val="en-US" w:eastAsia="zh-CN" w:bidi="ar-SA"/>
              </w:rPr>
              <w:t>；</w:t>
            </w:r>
          </w:p>
          <w:p>
            <w:pPr>
              <w:widowControl/>
              <w:jc w:val="both"/>
              <w:textAlignment w:val="center"/>
              <w:rPr>
                <w:rFonts w:hint="eastAsia" w:ascii="宋体" w:hAnsi="宋体" w:eastAsia="宋体" w:cs="宋体"/>
                <w:color w:val="000000"/>
                <w:sz w:val="21"/>
                <w:szCs w:val="21"/>
              </w:rPr>
            </w:pPr>
            <w:r>
              <w:rPr>
                <w:rFonts w:hint="eastAsia"/>
                <w:lang w:val="en-US" w:eastAsia="zh-CN"/>
              </w:rPr>
              <w:t>3：样式自行设计，根据设计图样定制。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不少于10项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b w:val="0"/>
                <w:bCs/>
                <w:color w:val="000000"/>
                <w:sz w:val="21"/>
                <w:szCs w:val="21"/>
                <w:lang w:val="en-US" w:eastAsia="zh-CN"/>
              </w:rPr>
              <w:t>门诊</w:t>
            </w:r>
            <w:r>
              <w:rPr>
                <w:rFonts w:hint="eastAsia" w:ascii="宋体" w:hAnsi="宋体" w:cs="宋体"/>
                <w:color w:val="000000"/>
                <w:sz w:val="21"/>
                <w:szCs w:val="21"/>
                <w:lang w:eastAsia="zh-CN"/>
              </w:rPr>
              <w:t>三楼南北长廊</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1：内容包含 养生保健主题；形式应该包含与内容相匹配的走廊端景、中医展柜、器具、文字、图片等。</w:t>
            </w:r>
          </w:p>
          <w:p>
            <w:pPr>
              <w:widowControl/>
              <w:spacing w:line="360" w:lineRule="auto"/>
              <w:jc w:val="both"/>
              <w:textAlignment w:val="center"/>
              <w:rPr>
                <w:rFonts w:hint="eastAsia"/>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采用艺术微喷工艺生产；展柜采用钢化白玻璃/麻布硬包底座;展品要求60%以上是中医药类旧物件，非新品；</w:t>
            </w:r>
          </w:p>
          <w:p>
            <w:pPr>
              <w:widowControl/>
              <w:spacing w:line="360" w:lineRule="auto"/>
              <w:jc w:val="both"/>
              <w:textAlignment w:val="center"/>
              <w:rPr>
                <w:rFonts w:hint="default"/>
                <w:lang w:val="en-US" w:eastAsia="zh-CN"/>
              </w:rPr>
            </w:pPr>
            <w:r>
              <w:rPr>
                <w:rFonts w:hint="eastAsia"/>
                <w:lang w:val="en-US" w:eastAsia="zh-CN"/>
              </w:rPr>
              <w:t>3：样式自行设计，根据设计图样定制。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不少于15项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b w:val="0"/>
                <w:bCs/>
                <w:color w:val="000000"/>
                <w:sz w:val="21"/>
                <w:szCs w:val="21"/>
                <w:lang w:val="en-US" w:eastAsia="zh-CN"/>
              </w:rPr>
              <w:t>门诊</w:t>
            </w:r>
            <w:r>
              <w:rPr>
                <w:rFonts w:hint="eastAsia" w:ascii="宋体" w:hAnsi="宋体" w:cs="宋体"/>
                <w:color w:val="000000"/>
                <w:sz w:val="21"/>
                <w:szCs w:val="21"/>
                <w:lang w:eastAsia="zh-CN"/>
              </w:rPr>
              <w:t>三楼室外平台</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1：内容包含中医现代化设备体验区、中医大健康产品体验区、太极文化长廊三个板块；</w:t>
            </w:r>
          </w:p>
          <w:p>
            <w:pPr>
              <w:widowControl/>
              <w:jc w:val="both"/>
              <w:textAlignment w:val="center"/>
              <w:rPr>
                <w:rFonts w:hint="default" w:ascii="宋体" w:hAnsi="宋体" w:eastAsia="宋体" w:cs="宋体"/>
                <w:color w:val="000000"/>
                <w:sz w:val="21"/>
                <w:szCs w:val="21"/>
                <w:lang w:val="en-US"/>
              </w:rPr>
            </w:pPr>
            <w:r>
              <w:rPr>
                <w:rFonts w:hint="eastAsia"/>
                <w:lang w:val="en-US" w:eastAsia="zh-CN"/>
              </w:rPr>
              <w:t>(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b w:val="0"/>
                <w:bCs/>
                <w:color w:val="000000"/>
                <w:sz w:val="21"/>
                <w:szCs w:val="21"/>
                <w:lang w:val="en-US" w:eastAsia="zh-CN"/>
              </w:rPr>
              <w:t>门诊</w:t>
            </w:r>
            <w:r>
              <w:rPr>
                <w:rFonts w:hint="eastAsia" w:ascii="宋体" w:hAnsi="宋体" w:cs="宋体"/>
                <w:color w:val="000000"/>
                <w:sz w:val="21"/>
                <w:szCs w:val="21"/>
                <w:lang w:val="en-US" w:eastAsia="zh-CN"/>
              </w:rPr>
              <w:t>四楼南北长廊</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lang w:val="en-US" w:eastAsia="zh-CN"/>
              </w:rPr>
              <w:t>1：内容应该是中医经络文化主题；形式应该包含与内容相匹配的针灸铜人端景、中医展柜、器具、文字、图片等。</w:t>
            </w:r>
          </w:p>
          <w:p>
            <w:pPr>
              <w:widowControl/>
              <w:spacing w:line="360" w:lineRule="auto"/>
              <w:jc w:val="both"/>
              <w:textAlignment w:val="center"/>
              <w:rPr>
                <w:rFonts w:hint="eastAsia"/>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铜人采用高分子树脂材料，高度不少于180cm；图文展板采用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采用艺术微喷工艺生产；展柜采用钢化白玻璃/麻布硬包底座;展品要求60%以上是中医药类旧物件，非新品；</w:t>
            </w:r>
          </w:p>
          <w:p>
            <w:pPr>
              <w:widowControl/>
              <w:jc w:val="left"/>
              <w:textAlignment w:val="center"/>
              <w:rPr>
                <w:rFonts w:hint="eastAsia" w:ascii="宋体" w:hAnsi="宋体" w:eastAsia="宋体" w:cs="宋体"/>
                <w:color w:val="000000"/>
                <w:sz w:val="21"/>
                <w:szCs w:val="21"/>
              </w:rPr>
            </w:pPr>
            <w:r>
              <w:rPr>
                <w:rFonts w:hint="eastAsia"/>
                <w:lang w:val="en-US" w:eastAsia="zh-CN"/>
              </w:rPr>
              <w:t>3：样式自行设计，根据设计图样定制。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不少于15项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b w:val="0"/>
                <w:bCs/>
                <w:color w:val="000000"/>
                <w:sz w:val="21"/>
                <w:szCs w:val="21"/>
                <w:lang w:val="en-US" w:eastAsia="zh-CN"/>
              </w:rPr>
              <w:t>门诊</w:t>
            </w:r>
            <w:r>
              <w:rPr>
                <w:rFonts w:hint="eastAsia" w:ascii="宋体" w:hAnsi="宋体" w:cs="宋体"/>
                <w:color w:val="000000"/>
                <w:sz w:val="21"/>
                <w:szCs w:val="21"/>
                <w:lang w:eastAsia="zh-CN"/>
              </w:rPr>
              <w:t>四楼针灸推拿理疗室</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1：内容</w:t>
            </w:r>
            <w:r>
              <w:rPr>
                <w:rFonts w:hint="eastAsia" w:cs="Times New Roman"/>
                <w:szCs w:val="22"/>
                <w:lang w:val="en-US" w:eastAsia="zh-CN"/>
              </w:rPr>
              <w:t>经络图谱</w:t>
            </w:r>
            <w:r>
              <w:rPr>
                <w:rFonts w:hint="eastAsia" w:ascii="Times New Roman" w:hAnsi="Times New Roman" w:cs="Times New Roman"/>
                <w:szCs w:val="22"/>
                <w:lang w:val="en-US" w:eastAsia="zh-CN"/>
              </w:rPr>
              <w:t>展示；</w:t>
            </w:r>
          </w:p>
          <w:p>
            <w:pPr>
              <w:widowControl/>
              <w:spacing w:line="360" w:lineRule="auto"/>
              <w:jc w:val="both"/>
              <w:textAlignment w:val="center"/>
              <w:rPr>
                <w:rFonts w:hint="eastAsia" w:ascii="Times New Roman" w:hAnsi="Times New Roman" w:cs="Times New Roman"/>
                <w:szCs w:val="22"/>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经络图谱采用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w:t>
            </w:r>
          </w:p>
          <w:p>
            <w:pPr>
              <w:widowControl/>
              <w:spacing w:line="360" w:lineRule="auto"/>
              <w:jc w:val="both"/>
              <w:textAlignment w:val="center"/>
              <w:rPr>
                <w:rFonts w:hint="default" w:ascii="Times New Roman" w:hAnsi="Times New Roman" w:cs="Times New Roman"/>
                <w:szCs w:val="22"/>
                <w:lang w:val="en-US" w:eastAsia="zh-CN"/>
              </w:rPr>
            </w:pPr>
            <w:r>
              <w:rPr>
                <w:rFonts w:hint="eastAsia" w:cs="Times New Roman"/>
                <w:szCs w:val="22"/>
                <w:lang w:val="en-US" w:eastAsia="zh-CN"/>
              </w:rPr>
              <w:t>3</w:t>
            </w:r>
            <w:r>
              <w:rPr>
                <w:rFonts w:hint="eastAsia" w:ascii="Times New Roman" w:hAnsi="Times New Roman" w:cs="Times New Roman"/>
                <w:szCs w:val="22"/>
                <w:lang w:val="en-US" w:eastAsia="zh-CN"/>
              </w:rPr>
              <w:t>：样式自行设计，根据设计图样定制。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kern w:val="2"/>
                <w:sz w:val="21"/>
                <w:szCs w:val="21"/>
                <w:lang w:val="en-US" w:eastAsia="zh-CN" w:bidi="ar-SA"/>
              </w:rPr>
              <w:t>幅</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不少于12幅</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eastAsia="zh-CN"/>
              </w:rPr>
            </w:pPr>
            <w:r>
              <w:rPr>
                <w:rFonts w:hint="eastAsia" w:ascii="宋体" w:hAnsi="宋体" w:cs="宋体"/>
                <w:b w:val="0"/>
                <w:bCs/>
                <w:color w:val="000000"/>
                <w:sz w:val="21"/>
                <w:szCs w:val="21"/>
                <w:lang w:val="en-US" w:eastAsia="zh-CN"/>
              </w:rPr>
              <w:t>门诊</w:t>
            </w:r>
            <w:r>
              <w:rPr>
                <w:rFonts w:hint="eastAsia" w:ascii="宋体" w:hAnsi="宋体" w:cs="宋体"/>
                <w:color w:val="000000"/>
                <w:sz w:val="21"/>
                <w:szCs w:val="21"/>
                <w:lang w:val="en-US" w:eastAsia="zh-CN"/>
              </w:rPr>
              <w:t>五楼南北长廊</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both"/>
              <w:textAlignment w:val="center"/>
              <w:rPr>
                <w:rFonts w:hint="eastAsia"/>
                <w:lang w:val="en-US" w:eastAsia="zh-CN"/>
              </w:rPr>
            </w:pPr>
            <w:r>
              <w:rPr>
                <w:rFonts w:hint="eastAsia" w:ascii="Times New Roman" w:hAnsi="Times New Roman" w:cs="Times New Roman"/>
                <w:szCs w:val="22"/>
                <w:lang w:val="en-US" w:eastAsia="zh-CN"/>
              </w:rPr>
              <w:t>1：内容应该是国内外中医药大事件展示</w:t>
            </w:r>
            <w:r>
              <w:rPr>
                <w:rFonts w:hint="eastAsia" w:cs="Times New Roman"/>
                <w:szCs w:val="22"/>
                <w:lang w:val="en-US" w:eastAsia="zh-CN"/>
              </w:rPr>
              <w:t>，</w:t>
            </w:r>
            <w:r>
              <w:rPr>
                <w:rFonts w:hint="eastAsia" w:ascii="Times New Roman" w:hAnsi="Times New Roman" w:cs="Times New Roman"/>
                <w:szCs w:val="22"/>
                <w:lang w:val="en-US" w:eastAsia="zh-CN"/>
              </w:rPr>
              <w:t>标题自拟；</w:t>
            </w:r>
            <w:r>
              <w:rPr>
                <w:rFonts w:hint="eastAsia"/>
                <w:lang w:val="en-US" w:eastAsia="zh-CN"/>
              </w:rPr>
              <w:t>形式应该包含与内容相匹配的走廊端景2个、文字、图片等。</w:t>
            </w:r>
          </w:p>
          <w:p>
            <w:pPr>
              <w:widowControl/>
              <w:spacing w:line="360" w:lineRule="auto"/>
              <w:jc w:val="both"/>
              <w:textAlignment w:val="center"/>
              <w:rPr>
                <w:rFonts w:hint="default"/>
                <w:lang w:val="en-US" w:eastAsia="zh-CN"/>
              </w:rPr>
            </w:pPr>
            <w:r>
              <w:rPr>
                <w:rFonts w:hint="eastAsia" w:ascii="Times New Roman" w:hAnsi="Times New Roman" w:eastAsia="宋体" w:cs="Times New Roman"/>
                <w:b w:val="0"/>
                <w:kern w:val="2"/>
                <w:sz w:val="21"/>
                <w:szCs w:val="22"/>
                <w:lang w:val="en-US" w:eastAsia="zh-CN" w:bidi="ar-SA"/>
              </w:rPr>
              <w:t>2：文化造型材质：</w:t>
            </w:r>
            <w:r>
              <w:rPr>
                <w:rFonts w:hint="eastAsia" w:cs="Times New Roman"/>
                <w:b w:val="0"/>
                <w:kern w:val="2"/>
                <w:sz w:val="21"/>
                <w:szCs w:val="22"/>
                <w:lang w:val="en-US" w:eastAsia="zh-CN" w:bidi="ar-SA"/>
              </w:rPr>
              <w:t>端景采用木作基层，表面用氟碳漆喷涂；图文展板采用</w:t>
            </w:r>
            <w:r>
              <w:rPr>
                <w:rFonts w:hint="eastAsia" w:ascii="宋体" w:hAnsi="宋体" w:eastAsia="宋体" w:cs="宋体"/>
                <w:color w:val="000000"/>
                <w:kern w:val="0"/>
                <w:sz w:val="21"/>
                <w:szCs w:val="21"/>
                <w:lang w:bidi="ar"/>
              </w:rPr>
              <w:t>糯米胶装裱</w:t>
            </w:r>
            <w:r>
              <w:rPr>
                <w:rFonts w:hint="eastAsia" w:ascii="宋体" w:hAnsi="宋体" w:cs="宋体"/>
                <w:color w:val="000000"/>
                <w:kern w:val="0"/>
                <w:sz w:val="21"/>
                <w:szCs w:val="21"/>
                <w:lang w:val="en-US" w:eastAsia="zh-CN" w:bidi="ar"/>
              </w:rPr>
              <w:t>油画布</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采用艺术微喷工艺生产；</w:t>
            </w:r>
          </w:p>
          <w:p>
            <w:pPr>
              <w:widowControl/>
              <w:spacing w:line="360" w:lineRule="auto"/>
              <w:jc w:val="both"/>
              <w:textAlignment w:val="center"/>
              <w:rPr>
                <w:rFonts w:hint="default" w:ascii="Times New Roman" w:hAnsi="Times New Roman" w:cs="Times New Roman"/>
                <w:szCs w:val="22"/>
                <w:lang w:val="en-US" w:eastAsia="zh-CN"/>
              </w:rPr>
            </w:pPr>
            <w:r>
              <w:rPr>
                <w:rFonts w:hint="eastAsia" w:cs="Times New Roman"/>
                <w:szCs w:val="22"/>
                <w:lang w:val="en-US" w:eastAsia="zh-CN"/>
              </w:rPr>
              <w:t>3</w:t>
            </w:r>
            <w:r>
              <w:rPr>
                <w:rFonts w:hint="eastAsia" w:ascii="Times New Roman" w:hAnsi="Times New Roman" w:cs="Times New Roman"/>
                <w:szCs w:val="22"/>
                <w:lang w:val="en-US" w:eastAsia="zh-CN"/>
              </w:rPr>
              <w:t>：样式自行设计，根据设计图样定制。</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不少于15项</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综合病房楼一楼大厅</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9"/>
              </w:numPr>
              <w:spacing w:line="360" w:lineRule="auto"/>
              <w:jc w:val="both"/>
              <w:textAlignment w:val="center"/>
              <w:rPr>
                <w:rFonts w:hint="eastAsia" w:cs="Times New Roman"/>
                <w:szCs w:val="22"/>
                <w:lang w:val="en-US" w:eastAsia="zh-CN"/>
              </w:rPr>
            </w:pPr>
            <w:r>
              <w:rPr>
                <w:rFonts w:hint="eastAsia" w:cs="Times New Roman"/>
                <w:szCs w:val="22"/>
                <w:lang w:val="en-US" w:eastAsia="zh-CN"/>
              </w:rPr>
              <w:t>内容包含设计，体现中医风格；</w:t>
            </w:r>
          </w:p>
          <w:p>
            <w:pPr>
              <w:widowControl/>
              <w:numPr>
                <w:ilvl w:val="0"/>
                <w:numId w:val="9"/>
              </w:numPr>
              <w:spacing w:line="360" w:lineRule="auto"/>
              <w:jc w:val="both"/>
              <w:textAlignment w:val="center"/>
              <w:rPr>
                <w:rFonts w:hint="default" w:ascii="Times New Roman" w:hAnsi="Times New Roman" w:cs="Times New Roman"/>
                <w:szCs w:val="22"/>
                <w:lang w:val="en-US" w:eastAsia="zh-CN"/>
              </w:rPr>
            </w:pPr>
            <w:r>
              <w:rPr>
                <w:rFonts w:hint="eastAsia"/>
                <w:lang w:val="en-US" w:eastAsia="zh-CN"/>
              </w:rPr>
              <w:t>(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病房楼一楼大厅</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0"/>
              </w:numPr>
              <w:spacing w:line="360" w:lineRule="auto"/>
              <w:jc w:val="both"/>
              <w:textAlignment w:val="center"/>
              <w:rPr>
                <w:rFonts w:hint="eastAsia" w:cs="Times New Roman"/>
                <w:szCs w:val="22"/>
                <w:lang w:val="en-US" w:eastAsia="zh-CN"/>
              </w:rPr>
            </w:pPr>
            <w:r>
              <w:rPr>
                <w:rFonts w:hint="eastAsia" w:cs="Times New Roman"/>
                <w:szCs w:val="22"/>
                <w:lang w:val="en-US" w:eastAsia="zh-CN"/>
              </w:rPr>
              <w:t>内容包含设计，体现中医风格；</w:t>
            </w:r>
          </w:p>
          <w:p>
            <w:pPr>
              <w:widowControl/>
              <w:numPr>
                <w:ilvl w:val="0"/>
                <w:numId w:val="10"/>
              </w:numPr>
              <w:spacing w:line="360" w:lineRule="auto"/>
              <w:jc w:val="both"/>
              <w:textAlignment w:val="center"/>
              <w:rPr>
                <w:rFonts w:hint="eastAsia" w:ascii="Times New Roman" w:hAnsi="Times New Roman" w:cs="Times New Roman"/>
                <w:szCs w:val="22"/>
                <w:lang w:val="en-US" w:eastAsia="zh-CN"/>
              </w:rPr>
            </w:pPr>
            <w:r>
              <w:rPr>
                <w:rFonts w:hint="eastAsia"/>
                <w:lang w:val="en-US" w:eastAsia="zh-CN"/>
              </w:rPr>
              <w:t>(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综合病房楼</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1"/>
              </w:numPr>
              <w:spacing w:line="360" w:lineRule="auto"/>
              <w:jc w:val="both"/>
              <w:textAlignment w:val="center"/>
              <w:rPr>
                <w:rFonts w:hint="eastAsia" w:cs="Times New Roman"/>
                <w:szCs w:val="22"/>
                <w:lang w:val="en-US" w:eastAsia="zh-CN"/>
              </w:rPr>
            </w:pPr>
            <w:r>
              <w:rPr>
                <w:rFonts w:hint="eastAsia" w:cs="Times New Roman"/>
                <w:szCs w:val="22"/>
                <w:lang w:val="en-US" w:eastAsia="zh-CN"/>
              </w:rPr>
              <w:t>设计护士站装修风格；</w:t>
            </w:r>
          </w:p>
          <w:p>
            <w:pPr>
              <w:widowControl/>
              <w:numPr>
                <w:ilvl w:val="0"/>
                <w:numId w:val="11"/>
              </w:numPr>
              <w:spacing w:line="360" w:lineRule="auto"/>
              <w:jc w:val="both"/>
              <w:textAlignment w:val="center"/>
              <w:rPr>
                <w:rFonts w:hint="eastAsia" w:ascii="Times New Roman" w:hAnsi="Times New Roman" w:cs="Times New Roman"/>
                <w:szCs w:val="22"/>
                <w:lang w:val="en-US" w:eastAsia="zh-CN"/>
              </w:rPr>
            </w:pPr>
            <w:r>
              <w:rPr>
                <w:rFonts w:hint="eastAsia"/>
                <w:lang w:val="en-US" w:eastAsia="zh-CN"/>
              </w:rPr>
              <w:t>(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w:t>
            </w:r>
          </w:p>
        </w:tc>
      </w:tr>
      <w:tr>
        <w:tblPrEx>
          <w:tblLayout w:type="fixed"/>
          <w:tblCellMar>
            <w:top w:w="0" w:type="dxa"/>
            <w:left w:w="0" w:type="dxa"/>
            <w:bottom w:w="0" w:type="dxa"/>
            <w:right w:w="0"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病房楼三楼康复大厅</w:t>
            </w:r>
          </w:p>
        </w:tc>
        <w:tc>
          <w:tcPr>
            <w:tcW w:w="5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2"/>
              </w:numPr>
              <w:spacing w:line="360" w:lineRule="auto"/>
              <w:jc w:val="both"/>
              <w:textAlignment w:val="center"/>
              <w:rPr>
                <w:rFonts w:hint="eastAsia" w:cs="Times New Roman"/>
                <w:szCs w:val="22"/>
                <w:lang w:val="en-US" w:eastAsia="zh-CN"/>
              </w:rPr>
            </w:pPr>
            <w:r>
              <w:rPr>
                <w:rFonts w:hint="eastAsia" w:cs="Times New Roman"/>
                <w:szCs w:val="22"/>
                <w:lang w:val="en-US" w:eastAsia="zh-CN"/>
              </w:rPr>
              <w:t>设计康复文化内容与门诊四楼相关内容呼应；</w:t>
            </w:r>
          </w:p>
          <w:p>
            <w:pPr>
              <w:widowControl/>
              <w:numPr>
                <w:ilvl w:val="0"/>
                <w:numId w:val="12"/>
              </w:numPr>
              <w:spacing w:line="360" w:lineRule="auto"/>
              <w:jc w:val="both"/>
              <w:textAlignment w:val="center"/>
              <w:rPr>
                <w:rFonts w:hint="eastAsia" w:ascii="Times New Roman" w:hAnsi="Times New Roman" w:cs="Times New Roman"/>
                <w:szCs w:val="22"/>
                <w:lang w:val="en-US" w:eastAsia="zh-CN"/>
              </w:rPr>
            </w:pPr>
            <w:r>
              <w:rPr>
                <w:rFonts w:hint="eastAsia"/>
                <w:lang w:val="en-US" w:eastAsia="zh-CN"/>
              </w:rPr>
              <w:t>( 此处仅出设计方案即可)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项</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w:t>
            </w:r>
          </w:p>
        </w:tc>
      </w:tr>
    </w:tbl>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27"/>
        <w:rPr>
          <w:rFonts w:hint="eastAsia" w:asciiTheme="minorEastAsia" w:hAnsiTheme="minorEastAsia" w:eastAsiaTheme="minorEastAsia" w:cstheme="minorEastAsia"/>
        </w:rPr>
      </w:pPr>
      <w:bookmarkStart w:id="213" w:name="_Toc1384"/>
      <w:bookmarkStart w:id="214" w:name="_Toc3649"/>
      <w:r>
        <w:rPr>
          <w:rFonts w:hint="eastAsia" w:asciiTheme="minorEastAsia" w:hAnsiTheme="minorEastAsia" w:eastAsiaTheme="minorEastAsia" w:cstheme="minorEastAsia"/>
        </w:rPr>
        <w:t>第五章合同签订及条款</w:t>
      </w:r>
      <w:bookmarkEnd w:id="213"/>
      <w:bookmarkEnd w:id="214"/>
    </w:p>
    <w:p>
      <w:pPr>
        <w:snapToGrid w:val="0"/>
        <w:spacing w:line="300" w:lineRule="auto"/>
        <w:rPr>
          <w:rFonts w:hint="eastAsia" w:asciiTheme="minorEastAsia" w:hAnsiTheme="minorEastAsia" w:eastAsiaTheme="minorEastAsia" w:cstheme="minorEastAsia"/>
          <w:szCs w:val="21"/>
        </w:rPr>
      </w:pPr>
      <w:bookmarkStart w:id="215" w:name="_Toc1706"/>
      <w:r>
        <w:rPr>
          <w:rFonts w:hint="eastAsia" w:asciiTheme="minorEastAsia" w:hAnsiTheme="minorEastAsia" w:eastAsiaTheme="minorEastAsia" w:cstheme="minorEastAsia"/>
          <w:b/>
          <w:sz w:val="28"/>
          <w:szCs w:val="28"/>
        </w:rPr>
        <w:t>1.合同签订</w:t>
      </w:r>
      <w:bookmarkEnd w:id="215"/>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    1.1 </w:t>
      </w:r>
      <w:r>
        <w:rPr>
          <w:rFonts w:hint="eastAsia" w:asciiTheme="minorEastAsia" w:hAnsiTheme="minorEastAsia" w:eastAsiaTheme="minorEastAsia" w:cstheme="minorEastAsia"/>
          <w:szCs w:val="21"/>
        </w:rPr>
        <w:t>中标人应按中标通知书指定的时间、地点，与采购人签订合同。中标人与采购人不得签订背离招标文件实质性内容的合同，否则合同无效。</w:t>
      </w:r>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    1.2 </w:t>
      </w:r>
      <w:r>
        <w:rPr>
          <w:rFonts w:hint="eastAsia" w:asciiTheme="minorEastAsia" w:hAnsiTheme="minorEastAsia" w:eastAsiaTheme="minorEastAsia" w:cstheme="minorEastAsia"/>
          <w:szCs w:val="21"/>
        </w:rPr>
        <w:t>如采购人或中标人拒签合同，则按违约处理。</w:t>
      </w:r>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    1.3 </w:t>
      </w:r>
      <w:r>
        <w:rPr>
          <w:rFonts w:hint="eastAsia" w:asciiTheme="minorEastAsia" w:hAnsiTheme="minorEastAsia" w:eastAsiaTheme="minorEastAsia" w:cstheme="minorEastAsia"/>
          <w:szCs w:val="21"/>
        </w:rPr>
        <w:t>如中标人不按本招标文件要求签订合同，则取消其中标资格。招标人并依法追究中标人的缔约过失责任及其他法律责任。</w:t>
      </w:r>
    </w:p>
    <w:p>
      <w:pPr>
        <w:spacing w:line="42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1.4 采购人追加合同标的权利：签订合同后，采购人如需追加与合同标的相同的货物、工程或者服务的，在不改变本合同其他条款的前提下，可以与中标人协商签订补充合同，但所有补充合同的采购金额不得超过原合同采购金额的10%。</w:t>
      </w:r>
      <w:r>
        <w:rPr>
          <w:rFonts w:hint="eastAsia" w:asciiTheme="minorEastAsia" w:hAnsiTheme="minorEastAsia" w:eastAsiaTheme="minorEastAsia" w:cstheme="minorEastAsia"/>
          <w:szCs w:val="21"/>
        </w:rPr>
        <w:tab/>
      </w:r>
    </w:p>
    <w:p>
      <w:pPr>
        <w:snapToGrid w:val="0"/>
        <w:spacing w:line="300" w:lineRule="auto"/>
        <w:rPr>
          <w:rFonts w:hint="eastAsia" w:asciiTheme="minorEastAsia" w:hAnsiTheme="minorEastAsia" w:eastAsiaTheme="minorEastAsia" w:cstheme="minorEastAsia"/>
          <w:b/>
          <w:sz w:val="28"/>
          <w:szCs w:val="28"/>
        </w:rPr>
      </w:pPr>
      <w:bookmarkStart w:id="216" w:name="_Toc8336"/>
      <w:bookmarkStart w:id="217" w:name="_Toc27043"/>
      <w:bookmarkStart w:id="218" w:name="_Toc21209"/>
      <w:bookmarkStart w:id="219" w:name="_Toc488422014"/>
      <w:bookmarkStart w:id="220" w:name="_Toc488422613"/>
      <w:bookmarkStart w:id="221" w:name="_Toc18545"/>
      <w:bookmarkStart w:id="222" w:name="_Toc6716"/>
      <w:bookmarkStart w:id="223" w:name="_Toc421284761"/>
      <w:bookmarkStart w:id="224" w:name="_Toc32638"/>
      <w:bookmarkStart w:id="225" w:name="_Toc3663"/>
      <w:bookmarkStart w:id="226" w:name="_Toc9383"/>
      <w:r>
        <w:rPr>
          <w:rFonts w:hint="eastAsia" w:asciiTheme="minorEastAsia" w:hAnsiTheme="minorEastAsia" w:eastAsiaTheme="minorEastAsia" w:cstheme="minorEastAsia"/>
          <w:b/>
          <w:sz w:val="28"/>
          <w:szCs w:val="28"/>
        </w:rPr>
        <w:t>2.合同一般条款</w:t>
      </w:r>
      <w:bookmarkEnd w:id="216"/>
      <w:bookmarkEnd w:id="217"/>
      <w:bookmarkEnd w:id="218"/>
      <w:bookmarkEnd w:id="219"/>
      <w:bookmarkEnd w:id="220"/>
      <w:bookmarkEnd w:id="221"/>
      <w:bookmarkEnd w:id="222"/>
      <w:bookmarkEnd w:id="223"/>
      <w:bookmarkEnd w:id="224"/>
      <w:bookmarkEnd w:id="225"/>
      <w:bookmarkEnd w:id="226"/>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2.1、定义</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（1）甲方（需方）即采购人，是指通过招标采购，接受合同货物及服务的各级国家机关、事业单位和团体组织。</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（2）乙方（供方）即中标供应商，是指中标后提供合同货物和服务的自然人、法人及其他组织。</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（3）合同是指由甲乙双方按照招标文件和投标文件的实质性内容，通过协商一致达成的书面协议。</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（4）合同价格指以中标价格为依据，在供方全面履行合同义务后，需方应支付给供方的金额。</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（5）技术资料是指合同货物及其相关的设计、制造、监造、检验、验收等文件（包括图纸、各种文字说明、标准）。</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2.2、货物内容</w:t>
      </w:r>
    </w:p>
    <w:p>
      <w:pPr>
        <w:snapToGrid w:val="0"/>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合同包括以下内容：货物名称、规格型号、技术参数、数量（单位）等内容。</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2.3、合同价格</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（1）合同价格即合同总价。</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（2）合同价格包括合同货物、技术资料、合同货物的税费、运杂费、保险费、包装费、装卸费及与货物有关的供方应纳的税费等，所有税费由乙方负担。</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2.4、转包或分包</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（1）本合同范围的货物，应由乙方直接供应，不得转让他人供应；</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（2）非经甲方书面同意，乙方不得将本合同范围的货物全部或部分分包给他人供应；</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（3）如有转让和未经甲方同意的分包行为，甲方有权解除合同，履约保证金不予退还并追究乙方的违约责任。</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 xml:space="preserve">    2.5、质量保证及售后服务</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（1）乙方应按招标文件规定的货物性能、技术要求、质量标准向甲方提供未经使用的全新产品。</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（2）乙方提供的货物在质保期内因货物本身的质量问题发生故障，乙方应负责免费更换。对达不到技术要求者，根据实际情况，经双方协商，可按以下办法处理：</w:t>
      </w:r>
    </w:p>
    <w:p>
      <w:pPr>
        <w:pStyle w:val="17"/>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A、更换：由乙方承担所发生的全部费用。</w:t>
      </w:r>
    </w:p>
    <w:p>
      <w:pPr>
        <w:pStyle w:val="17"/>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B、退货处理：乙方应退还甲方支付的合同款，同时应承担该货物的直接费用（运输、保险、检验、货款利息及银行手续费等）。</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（3）如在使用过程中发生质量问题，乙方在接到甲方通知后在</w:t>
      </w:r>
      <w:r>
        <w:rPr>
          <w:rFonts w:hint="eastAsia" w:asciiTheme="minorEastAsia" w:hAnsiTheme="minorEastAsia" w:eastAsiaTheme="minorEastAsia" w:cstheme="minorEastAsia"/>
          <w:u w:val="single"/>
        </w:rPr>
        <w:t>X</w:t>
      </w:r>
      <w:r>
        <w:rPr>
          <w:rFonts w:hint="eastAsia" w:asciiTheme="minorEastAsia" w:hAnsiTheme="minorEastAsia" w:eastAsiaTheme="minorEastAsia" w:cstheme="minorEastAsia"/>
        </w:rPr>
        <w:t>小时内到达甲方现场。</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（4）在质保期内，乙方应对货物出现的质量及安全问题负责处理解决并承担一切费用。</w:t>
      </w:r>
    </w:p>
    <w:p>
      <w:pPr>
        <w:pStyle w:val="17"/>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（5）上述货物的免费保修期按照国家有关规定标准执行，终生维修，维修时只收部件成本费。</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（6）乙方提供的货物由原厂提供售后服务的，乙方必须提供原厂商出具的售后服务承诺函（原件）。</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2.6、付款</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（1）本合同使用货币币制为人民币。</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（2）付款方式及方法：按专用条款执行。</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2.7、检查验收</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（1）供方应随货物提供合格证和质量证明文件，如是国外进口的货物还须提供入关证明。</w:t>
      </w:r>
    </w:p>
    <w:p>
      <w:pPr>
        <w:snapToGrid w:val="0"/>
        <w:spacing w:line="400" w:lineRule="exact"/>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（2）货物验收</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（3）货物验收报告应由需方、供方经办人签字，并加盖双方公章，以此作为支付凭据。</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2.8、索赔</w:t>
      </w:r>
    </w:p>
    <w:p>
      <w:pPr>
        <w:snapToGrid w:val="0"/>
        <w:spacing w:line="400" w:lineRule="exact"/>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供方所提供货物、工程或者服务不符合合同约定的，需方有权拒收货物、拒绝服务、解除合同，供方应赔偿需方所有损失。</w:t>
      </w:r>
    </w:p>
    <w:p>
      <w:pPr>
        <w:pStyle w:val="17"/>
        <w:spacing w:line="400" w:lineRule="exact"/>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 xml:space="preserve">    2.9、知识产权</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乙方应保证所提供的货物或其任何一部分均不会侵犯任何第三方的知识产权，如若出现侵权行为，由乙方付全部责任。</w:t>
      </w:r>
    </w:p>
    <w:p>
      <w:pPr>
        <w:autoSpaceDE w:val="0"/>
        <w:autoSpaceDN w:val="0"/>
        <w:spacing w:line="40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bCs/>
        </w:rPr>
        <w:t xml:space="preserve">    2.10</w:t>
      </w:r>
      <w:r>
        <w:rPr>
          <w:rFonts w:hint="eastAsia" w:asciiTheme="minorEastAsia" w:hAnsiTheme="minorEastAsia" w:eastAsiaTheme="minorEastAsia" w:cstheme="minorEastAsia"/>
          <w:b/>
          <w:szCs w:val="21"/>
          <w:lang w:val="zh-CN"/>
        </w:rPr>
        <w:t>、人员培训：</w:t>
      </w:r>
      <w:r>
        <w:rPr>
          <w:rFonts w:hint="eastAsia" w:asciiTheme="minorEastAsia" w:hAnsiTheme="minorEastAsia" w:eastAsiaTheme="minorEastAsia" w:cstheme="minorEastAsia"/>
          <w:szCs w:val="21"/>
          <w:lang w:val="zh-CN"/>
        </w:rPr>
        <w:t>供方免费对需方人员进行技术培训，直到需方人员熟练操作或掌握为准。</w:t>
      </w:r>
    </w:p>
    <w:p>
      <w:pPr>
        <w:autoSpaceDE w:val="0"/>
        <w:autoSpaceDN w:val="0"/>
        <w:spacing w:line="40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培训地点：；培训时间：；</w:t>
      </w:r>
    </w:p>
    <w:p>
      <w:pPr>
        <w:autoSpaceDE w:val="0"/>
        <w:autoSpaceDN w:val="0"/>
        <w:spacing w:line="40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培训方式：</w:t>
      </w:r>
    </w:p>
    <w:p>
      <w:pPr>
        <w:snapToGrid w:val="0"/>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2.11、违约责任</w:t>
      </w:r>
    </w:p>
    <w:p>
      <w:pPr>
        <w:snapToGrid w:val="0"/>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按专用条款及招标文件的其他有关约定执行。专用条款及招标文件约定不明或未约定的，按照《中华人民共和国合同法》、《中华人民共和国政府采购法》的有关规定执行。</w:t>
      </w:r>
      <w:bookmarkStart w:id="227" w:name="_Toc421284762"/>
      <w:bookmarkStart w:id="228" w:name="_Toc15325"/>
      <w:bookmarkStart w:id="229" w:name="_Toc13625"/>
      <w:bookmarkStart w:id="230" w:name="_Toc17461"/>
      <w:bookmarkStart w:id="231" w:name="_Toc17676"/>
      <w:bookmarkStart w:id="232" w:name="_Toc5009"/>
      <w:bookmarkStart w:id="233" w:name="_Toc24549"/>
      <w:bookmarkStart w:id="234" w:name="_Toc1746"/>
      <w:bookmarkStart w:id="235" w:name="_Toc18962"/>
      <w:bookmarkStart w:id="236" w:name="_Toc27148142"/>
      <w:bookmarkStart w:id="237" w:name="_Toc488422015"/>
      <w:bookmarkStart w:id="238" w:name="_Toc488422614"/>
    </w:p>
    <w:p>
      <w:pPr>
        <w:snapToGrid w:val="0"/>
        <w:spacing w:line="400" w:lineRule="exact"/>
        <w:ind w:firstLine="420" w:firstLineChars="200"/>
        <w:rPr>
          <w:rFonts w:hint="eastAsia" w:asciiTheme="minorEastAsia" w:hAnsiTheme="minorEastAsia" w:eastAsiaTheme="minorEastAsia" w:cstheme="minorEastAsia"/>
        </w:rPr>
      </w:pPr>
    </w:p>
    <w:p>
      <w:pPr>
        <w:snapToGrid w:val="0"/>
        <w:spacing w:line="400" w:lineRule="exact"/>
        <w:ind w:firstLine="560" w:firstLineChars="200"/>
        <w:rPr>
          <w:rFonts w:hint="eastAsia" w:asciiTheme="minorEastAsia" w:hAnsiTheme="minorEastAsia" w:eastAsiaTheme="minorEastAsia" w:cstheme="minorEastAsia"/>
          <w:b/>
          <w:sz w:val="28"/>
          <w:szCs w:val="28"/>
        </w:rPr>
      </w:pPr>
    </w:p>
    <w:p>
      <w:pPr>
        <w:snapToGrid w:val="0"/>
        <w:spacing w:line="400" w:lineRule="exact"/>
        <w:ind w:firstLine="560" w:firstLineChars="200"/>
        <w:rPr>
          <w:rFonts w:hint="eastAsia" w:asciiTheme="minorEastAsia" w:hAnsiTheme="minorEastAsia" w:eastAsiaTheme="minorEastAsia" w:cstheme="minorEastAsia"/>
          <w:b/>
          <w:sz w:val="28"/>
          <w:szCs w:val="28"/>
        </w:rPr>
      </w:pPr>
    </w:p>
    <w:p>
      <w:pPr>
        <w:snapToGrid w:val="0"/>
        <w:spacing w:line="400" w:lineRule="exact"/>
        <w:ind w:firstLine="560" w:firstLineChars="200"/>
        <w:rPr>
          <w:rFonts w:hint="eastAsia" w:asciiTheme="minorEastAsia" w:hAnsiTheme="minorEastAsia" w:eastAsiaTheme="minorEastAsia" w:cstheme="minorEastAsia"/>
          <w:b/>
          <w:sz w:val="28"/>
          <w:szCs w:val="28"/>
        </w:rPr>
      </w:pPr>
    </w:p>
    <w:p>
      <w:pPr>
        <w:snapToGrid w:val="0"/>
        <w:spacing w:line="400" w:lineRule="exact"/>
        <w:ind w:firstLine="560" w:firstLineChars="200"/>
        <w:rPr>
          <w:rFonts w:hint="eastAsia" w:asciiTheme="minorEastAsia" w:hAnsiTheme="minorEastAsia" w:eastAsiaTheme="minorEastAsia" w:cstheme="minorEastAsia"/>
          <w:b/>
          <w:sz w:val="28"/>
          <w:szCs w:val="28"/>
        </w:rPr>
      </w:pPr>
    </w:p>
    <w:p>
      <w:pPr>
        <w:snapToGrid w:val="0"/>
        <w:spacing w:line="400" w:lineRule="exact"/>
        <w:ind w:firstLine="560" w:firstLineChars="200"/>
        <w:rPr>
          <w:rFonts w:hint="eastAsia" w:asciiTheme="minorEastAsia" w:hAnsiTheme="minorEastAsia" w:eastAsiaTheme="minorEastAsia" w:cstheme="minorEastAsia"/>
          <w:b/>
          <w:sz w:val="28"/>
          <w:szCs w:val="28"/>
        </w:rPr>
      </w:pPr>
    </w:p>
    <w:p>
      <w:pPr>
        <w:snapToGrid w:val="0"/>
        <w:spacing w:line="400" w:lineRule="exact"/>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sz w:val="28"/>
          <w:szCs w:val="28"/>
        </w:rPr>
        <w:t>3．</w:t>
      </w:r>
      <w:bookmarkEnd w:id="227"/>
      <w:bookmarkEnd w:id="228"/>
      <w:bookmarkEnd w:id="229"/>
      <w:bookmarkEnd w:id="230"/>
      <w:bookmarkEnd w:id="231"/>
      <w:r>
        <w:rPr>
          <w:rFonts w:hint="eastAsia" w:asciiTheme="minorEastAsia" w:hAnsiTheme="minorEastAsia" w:eastAsiaTheme="minorEastAsia" w:cstheme="minorEastAsia"/>
          <w:b/>
          <w:sz w:val="28"/>
          <w:szCs w:val="28"/>
        </w:rPr>
        <w:t>合同专用条款（特别约定条款）</w:t>
      </w:r>
      <w:bookmarkEnd w:id="232"/>
      <w:bookmarkEnd w:id="233"/>
      <w:bookmarkEnd w:id="234"/>
      <w:bookmarkEnd w:id="235"/>
      <w:bookmarkEnd w:id="236"/>
      <w:bookmarkEnd w:id="237"/>
      <w:bookmarkEnd w:id="238"/>
    </w:p>
    <w:p>
      <w:pPr>
        <w:jc w:val="center"/>
        <w:rPr>
          <w:rFonts w:hint="eastAsia" w:asciiTheme="minorEastAsia" w:hAnsiTheme="minorEastAsia" w:eastAsiaTheme="minorEastAsia" w:cstheme="minorEastAsia"/>
          <w:b/>
          <w:szCs w:val="21"/>
        </w:rPr>
      </w:pP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（注：可结合具体招标项目进行更明确的约定）</w:t>
      </w:r>
    </w:p>
    <w:p>
      <w:pPr>
        <w:spacing w:line="340" w:lineRule="exact"/>
        <w:rPr>
          <w:rFonts w:hint="eastAsia" w:asciiTheme="minorEastAsia" w:hAnsiTheme="minorEastAsia" w:eastAsiaTheme="minorEastAsia" w:cstheme="minorEastAsia"/>
          <w:b/>
          <w:szCs w:val="21"/>
        </w:rPr>
      </w:pPr>
    </w:p>
    <w:p>
      <w:pPr>
        <w:spacing w:line="340" w:lineRule="exact"/>
        <w:jc w:val="center"/>
        <w:rPr>
          <w:rFonts w:hint="eastAsia" w:asciiTheme="minorEastAsia" w:hAnsiTheme="minorEastAsia" w:eastAsiaTheme="minorEastAsia" w:cstheme="minorEastAsia"/>
          <w:b/>
          <w:sz w:val="24"/>
        </w:rPr>
      </w:pPr>
    </w:p>
    <w:p>
      <w:pPr>
        <w:spacing w:line="340" w:lineRule="exact"/>
        <w:jc w:val="center"/>
        <w:rPr>
          <w:rFonts w:hint="eastAsia" w:asciiTheme="minorEastAsia" w:hAnsiTheme="minorEastAsia" w:eastAsiaTheme="minorEastAsia" w:cstheme="minorEastAsia"/>
          <w:b/>
          <w:sz w:val="24"/>
        </w:rPr>
      </w:pPr>
    </w:p>
    <w:p>
      <w:pPr>
        <w:spacing w:line="340"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温县政府集中采购合同</w:t>
      </w:r>
    </w:p>
    <w:p>
      <w:pPr>
        <w:spacing w:line="340" w:lineRule="exact"/>
        <w:jc w:val="center"/>
        <w:rPr>
          <w:rFonts w:hint="eastAsia" w:asciiTheme="minorEastAsia" w:hAnsiTheme="minorEastAsia" w:eastAsiaTheme="minorEastAsia" w:cstheme="minorEastAsia"/>
          <w:b/>
          <w:szCs w:val="21"/>
        </w:rPr>
      </w:pPr>
    </w:p>
    <w:p>
      <w:pPr>
        <w:spacing w:line="34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合同编号：</w:t>
      </w:r>
    </w:p>
    <w:p>
      <w:pPr>
        <w:spacing w:line="44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需方（甲方）（采购人全称）：</w:t>
      </w:r>
    </w:p>
    <w:p>
      <w:pPr>
        <w:spacing w:line="44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供方（乙方）（中标供应商全称）：</w:t>
      </w:r>
    </w:p>
    <w:p>
      <w:pPr>
        <w:spacing w:line="44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供方持签发的中标/成交通知书，根据招标文件、供方的投标/报价等文件[项目编号：温交易]，按照《政府采购法》、《合同法》等有关法律、法规的规定，供需双方经协商一致，达成以下合同专用条款：</w:t>
      </w:r>
    </w:p>
    <w:p>
      <w:pPr>
        <w:spacing w:line="44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一、本合同名称</w:t>
      </w:r>
      <w:r>
        <w:rPr>
          <w:rFonts w:hint="eastAsia" w:asciiTheme="minorEastAsia" w:hAnsiTheme="minorEastAsia" w:eastAsiaTheme="minorEastAsia" w:cstheme="minorEastAsia"/>
          <w:szCs w:val="21"/>
          <w:lang w:val="zh-CN"/>
        </w:rPr>
        <w:t>：。</w:t>
      </w:r>
    </w:p>
    <w:p>
      <w:pPr>
        <w:spacing w:line="44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二、本合同总价</w:t>
      </w:r>
      <w:r>
        <w:rPr>
          <w:rFonts w:hint="eastAsia" w:asciiTheme="minorEastAsia" w:hAnsiTheme="minorEastAsia" w:eastAsiaTheme="minorEastAsia" w:cstheme="minorEastAsia"/>
          <w:szCs w:val="21"/>
          <w:lang w:val="zh-CN"/>
        </w:rPr>
        <w:t>：元（人民币）（大写：元）。供货范围、技术规格、及分项价格如下：单位：人民币元</w:t>
      </w:r>
    </w:p>
    <w:tbl>
      <w:tblPr>
        <w:tblStyle w:val="40"/>
        <w:tblW w:w="9380" w:type="dxa"/>
        <w:jc w:val="center"/>
        <w:tblInd w:w="0" w:type="dxa"/>
        <w:tblLayout w:type="fixed"/>
        <w:tblCellMar>
          <w:top w:w="0" w:type="dxa"/>
          <w:left w:w="108" w:type="dxa"/>
          <w:bottom w:w="0" w:type="dxa"/>
          <w:right w:w="108" w:type="dxa"/>
        </w:tblCellMar>
      </w:tblPr>
      <w:tblGrid>
        <w:gridCol w:w="873"/>
        <w:gridCol w:w="1196"/>
        <w:gridCol w:w="2233"/>
        <w:gridCol w:w="543"/>
        <w:gridCol w:w="709"/>
        <w:gridCol w:w="734"/>
        <w:gridCol w:w="723"/>
        <w:gridCol w:w="1031"/>
        <w:gridCol w:w="1338"/>
      </w:tblGrid>
      <w:tr>
        <w:tblPrEx>
          <w:tblLayout w:type="fixed"/>
          <w:tblCellMar>
            <w:top w:w="0" w:type="dxa"/>
            <w:left w:w="108" w:type="dxa"/>
            <w:bottom w:w="0" w:type="dxa"/>
            <w:right w:w="108" w:type="dxa"/>
          </w:tblCellMar>
        </w:tblPrEx>
        <w:trPr>
          <w:trHeight w:val="599"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223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54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734"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72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c>
          <w:tcPr>
            <w:tcW w:w="1031" w:type="dxa"/>
            <w:tcBorders>
              <w:top w:val="single" w:color="auto" w:sz="6" w:space="0"/>
              <w:left w:val="single" w:color="auto" w:sz="6" w:space="0"/>
              <w:bottom w:val="single" w:color="auto" w:sz="6" w:space="0"/>
              <w:right w:val="single" w:color="auto" w:sz="4" w:space="0"/>
            </w:tcBorders>
            <w:vAlign w:val="center"/>
          </w:tcPr>
          <w:p>
            <w:pPr>
              <w:spacing w:line="340" w:lineRule="exact"/>
              <w:rPr>
                <w:rFonts w:hint="eastAsia" w:asciiTheme="minorEastAsia" w:hAnsiTheme="minorEastAsia" w:eastAsiaTheme="minorEastAsia" w:cstheme="minorEastAsia"/>
                <w:szCs w:val="21"/>
                <w:lang w:val="zh-CN"/>
              </w:rPr>
            </w:pPr>
          </w:p>
        </w:tc>
        <w:tc>
          <w:tcPr>
            <w:tcW w:w="1338"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lang w:val="zh-CN"/>
              </w:rPr>
            </w:pPr>
          </w:p>
        </w:tc>
      </w:tr>
      <w:tr>
        <w:tblPrEx>
          <w:tblLayout w:type="fixed"/>
          <w:tblCellMar>
            <w:top w:w="0" w:type="dxa"/>
            <w:left w:w="108" w:type="dxa"/>
            <w:bottom w:w="0" w:type="dxa"/>
            <w:right w:w="108" w:type="dxa"/>
          </w:tblCellMar>
        </w:tblPrEx>
        <w:trPr>
          <w:trHeight w:val="599"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223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54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734"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72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c>
          <w:tcPr>
            <w:tcW w:w="1031" w:type="dxa"/>
            <w:tcBorders>
              <w:top w:val="single" w:color="auto" w:sz="6" w:space="0"/>
              <w:left w:val="single" w:color="auto" w:sz="6" w:space="0"/>
              <w:bottom w:val="single" w:color="auto" w:sz="6" w:space="0"/>
              <w:right w:val="single" w:color="auto" w:sz="4" w:space="0"/>
            </w:tcBorders>
            <w:vAlign w:val="center"/>
          </w:tcPr>
          <w:p>
            <w:pPr>
              <w:spacing w:line="340" w:lineRule="exact"/>
              <w:rPr>
                <w:rFonts w:hint="eastAsia" w:asciiTheme="minorEastAsia" w:hAnsiTheme="minorEastAsia" w:eastAsiaTheme="minorEastAsia" w:cstheme="minorEastAsia"/>
                <w:szCs w:val="21"/>
              </w:rPr>
            </w:pPr>
          </w:p>
        </w:tc>
        <w:tc>
          <w:tcPr>
            <w:tcW w:w="1338"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Theme="minorEastAsia" w:hAnsiTheme="minorEastAsia" w:eastAsiaTheme="minorEastAsia" w:cstheme="minorEastAsia"/>
                <w:szCs w:val="21"/>
              </w:rPr>
            </w:pPr>
          </w:p>
        </w:tc>
      </w:tr>
      <w:tr>
        <w:tblPrEx>
          <w:tblLayout w:type="fixed"/>
          <w:tblCellMar>
            <w:top w:w="0" w:type="dxa"/>
            <w:left w:w="108" w:type="dxa"/>
            <w:bottom w:w="0" w:type="dxa"/>
            <w:right w:w="108" w:type="dxa"/>
          </w:tblCellMar>
        </w:tblPrEx>
        <w:trPr>
          <w:trHeight w:val="599" w:hRule="atLeast"/>
          <w:jc w:val="center"/>
        </w:trPr>
        <w:tc>
          <w:tcPr>
            <w:tcW w:w="87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1196"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223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54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09"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34"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2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1031" w:type="dxa"/>
            <w:tcBorders>
              <w:top w:val="single" w:color="auto" w:sz="6" w:space="0"/>
              <w:left w:val="single" w:color="auto" w:sz="6" w:space="0"/>
              <w:bottom w:val="single" w:color="auto" w:sz="6" w:space="0"/>
              <w:right w:val="single" w:color="auto" w:sz="4" w:space="0"/>
            </w:tcBorders>
          </w:tcPr>
          <w:p>
            <w:pPr>
              <w:spacing w:line="340" w:lineRule="exact"/>
              <w:rPr>
                <w:rFonts w:hint="eastAsia" w:asciiTheme="minorEastAsia" w:hAnsiTheme="minorEastAsia" w:eastAsiaTheme="minorEastAsia" w:cstheme="minorEastAsia"/>
                <w:szCs w:val="21"/>
              </w:rPr>
            </w:pPr>
          </w:p>
        </w:tc>
        <w:tc>
          <w:tcPr>
            <w:tcW w:w="1338" w:type="dxa"/>
            <w:tcBorders>
              <w:top w:val="single" w:color="auto" w:sz="6" w:space="0"/>
              <w:left w:val="single" w:color="auto" w:sz="4"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r>
      <w:tr>
        <w:tblPrEx>
          <w:tblLayout w:type="fixed"/>
          <w:tblCellMar>
            <w:top w:w="0" w:type="dxa"/>
            <w:left w:w="108" w:type="dxa"/>
            <w:bottom w:w="0" w:type="dxa"/>
            <w:right w:w="108" w:type="dxa"/>
          </w:tblCellMar>
        </w:tblPrEx>
        <w:trPr>
          <w:trHeight w:val="599" w:hRule="atLeast"/>
          <w:jc w:val="center"/>
        </w:trPr>
        <w:tc>
          <w:tcPr>
            <w:tcW w:w="87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1196"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223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54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09"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34"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723" w:type="dxa"/>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1031" w:type="dxa"/>
            <w:tcBorders>
              <w:top w:val="single" w:color="auto" w:sz="6" w:space="0"/>
              <w:left w:val="single" w:color="auto" w:sz="6" w:space="0"/>
              <w:bottom w:val="single" w:color="auto" w:sz="6" w:space="0"/>
              <w:right w:val="single" w:color="auto" w:sz="4" w:space="0"/>
            </w:tcBorders>
          </w:tcPr>
          <w:p>
            <w:pPr>
              <w:spacing w:line="340" w:lineRule="exact"/>
              <w:rPr>
                <w:rFonts w:hint="eastAsia" w:asciiTheme="minorEastAsia" w:hAnsiTheme="minorEastAsia" w:eastAsiaTheme="minorEastAsia" w:cstheme="minorEastAsia"/>
                <w:szCs w:val="21"/>
              </w:rPr>
            </w:pPr>
          </w:p>
        </w:tc>
        <w:tc>
          <w:tcPr>
            <w:tcW w:w="1338" w:type="dxa"/>
            <w:tcBorders>
              <w:top w:val="single" w:color="auto" w:sz="6" w:space="0"/>
              <w:left w:val="single" w:color="auto" w:sz="4"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r>
      <w:tr>
        <w:tblPrEx>
          <w:tblLayout w:type="fixed"/>
          <w:tblCellMar>
            <w:top w:w="0" w:type="dxa"/>
            <w:left w:w="108" w:type="dxa"/>
            <w:bottom w:w="0" w:type="dxa"/>
            <w:right w:w="108" w:type="dxa"/>
          </w:tblCellMar>
        </w:tblPrEx>
        <w:trPr>
          <w:trHeight w:val="618" w:hRule="atLeast"/>
          <w:jc w:val="center"/>
        </w:trPr>
        <w:tc>
          <w:tcPr>
            <w:tcW w:w="873" w:type="dxa"/>
            <w:vMerge w:val="restart"/>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总价（人民币）</w:t>
            </w:r>
          </w:p>
        </w:tc>
        <w:tc>
          <w:tcPr>
            <w:tcW w:w="8507" w:type="dxa"/>
            <w:gridSpan w:val="8"/>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小写：</w:t>
            </w:r>
          </w:p>
        </w:tc>
      </w:tr>
      <w:tr>
        <w:tblPrEx>
          <w:tblLayout w:type="fixed"/>
          <w:tblCellMar>
            <w:top w:w="0" w:type="dxa"/>
            <w:left w:w="108" w:type="dxa"/>
            <w:bottom w:w="0" w:type="dxa"/>
            <w:right w:w="108" w:type="dxa"/>
          </w:tblCellMar>
        </w:tblPrEx>
        <w:trPr>
          <w:trHeight w:val="1156" w:hRule="atLeast"/>
          <w:jc w:val="center"/>
        </w:trPr>
        <w:tc>
          <w:tcPr>
            <w:tcW w:w="873" w:type="dxa"/>
            <w:vMerge w:val="continue"/>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p>
        </w:tc>
        <w:tc>
          <w:tcPr>
            <w:tcW w:w="8507" w:type="dxa"/>
            <w:gridSpan w:val="8"/>
            <w:tcBorders>
              <w:top w:val="single" w:color="auto" w:sz="6" w:space="0"/>
              <w:left w:val="single" w:color="auto" w:sz="6" w:space="0"/>
              <w:bottom w:val="single" w:color="auto" w:sz="6" w:space="0"/>
              <w:right w:val="single" w:color="auto" w:sz="6" w:space="0"/>
            </w:tcBorders>
          </w:tcPr>
          <w:p>
            <w:pPr>
              <w:spacing w:line="3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大写：</w:t>
            </w:r>
            <w:r>
              <w:rPr>
                <w:rFonts w:hint="eastAsia" w:asciiTheme="minorEastAsia" w:hAnsiTheme="minorEastAsia" w:eastAsiaTheme="minorEastAsia" w:cstheme="minorEastAsia"/>
                <w:szCs w:val="21"/>
              </w:rPr>
              <w:t>佰</w:t>
            </w:r>
            <w:r>
              <w:rPr>
                <w:rFonts w:hint="eastAsia" w:asciiTheme="minorEastAsia" w:hAnsiTheme="minorEastAsia" w:eastAsiaTheme="minorEastAsia" w:cstheme="minorEastAsia"/>
                <w:szCs w:val="21"/>
                <w:lang w:val="zh-CN"/>
              </w:rPr>
              <w:t>拾万仟佰拾元角分</w:t>
            </w:r>
          </w:p>
        </w:tc>
      </w:tr>
    </w:tbl>
    <w:p>
      <w:pPr>
        <w:spacing w:line="34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三、质量要求及供方对质量负责条件和期限：</w:t>
      </w:r>
    </w:p>
    <w:p>
      <w:pPr>
        <w:spacing w:line="48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所供货物必须首先符合有关国家强制性规定、国家（行业）标准或相关法律法规要求</w:t>
      </w:r>
      <w:r>
        <w:rPr>
          <w:rFonts w:hint="eastAsia" w:asciiTheme="minorEastAsia" w:hAnsiTheme="minorEastAsia" w:eastAsiaTheme="minorEastAsia" w:cstheme="minorEastAsia"/>
          <w:szCs w:val="21"/>
          <w:lang w:val="zh-CN"/>
        </w:rPr>
        <w:t>，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日内以书面形式向供方提出，需安装调试成套设备的提出异议的期限为日。</w:t>
      </w:r>
    </w:p>
    <w:p>
      <w:pPr>
        <w:spacing w:line="48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四、售后服务承诺：</w:t>
      </w:r>
    </w:p>
    <w:p>
      <w:pPr>
        <w:spacing w:line="49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售后服务响应时间：</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解决问题时间：</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售后服务机构名称、地址及联系方式：</w:t>
      </w:r>
    </w:p>
    <w:p>
      <w:pPr>
        <w:spacing w:line="490" w:lineRule="exact"/>
        <w:rPr>
          <w:rFonts w:hint="eastAsia" w:asciiTheme="minorEastAsia" w:hAnsiTheme="minorEastAsia" w:eastAsiaTheme="minorEastAsia" w:cstheme="minorEastAsia"/>
          <w:szCs w:val="21"/>
          <w:u w:val="single"/>
          <w:lang w:val="zh-CN"/>
        </w:rPr>
      </w:pPr>
      <w:r>
        <w:rPr>
          <w:rFonts w:hint="eastAsia" w:asciiTheme="minorEastAsia" w:hAnsiTheme="minorEastAsia" w:eastAsiaTheme="minorEastAsia" w:cstheme="minorEastAsia"/>
          <w:szCs w:val="21"/>
          <w:lang w:val="zh-CN"/>
        </w:rPr>
        <w:t>其他服务承诺：</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五、合同履行地点及进度</w:t>
      </w:r>
      <w:r>
        <w:rPr>
          <w:rFonts w:hint="eastAsia" w:asciiTheme="minorEastAsia" w:hAnsiTheme="minorEastAsia" w:eastAsiaTheme="minorEastAsia" w:cstheme="minorEastAsia"/>
          <w:szCs w:val="21"/>
          <w:lang w:val="zh-CN"/>
        </w:rPr>
        <w:t>：</w:t>
      </w:r>
    </w:p>
    <w:p>
      <w:pPr>
        <w:spacing w:line="490" w:lineRule="exact"/>
        <w:ind w:firstLine="42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合同生效后，供方应于年月日前按需方要求在</w:t>
      </w:r>
      <w:r>
        <w:rPr>
          <w:rFonts w:hint="eastAsia" w:asciiTheme="minorEastAsia" w:hAnsiTheme="minorEastAsia" w:eastAsiaTheme="minorEastAsia" w:cstheme="minorEastAsia"/>
          <w:szCs w:val="21"/>
          <w:u w:val="single"/>
          <w:lang w:val="zh-CN"/>
        </w:rPr>
        <w:t>（</w:t>
      </w:r>
      <w:r>
        <w:rPr>
          <w:rFonts w:hint="eastAsia" w:asciiTheme="minorEastAsia" w:hAnsiTheme="minorEastAsia" w:eastAsiaTheme="minorEastAsia" w:cstheme="minorEastAsia"/>
          <w:szCs w:val="21"/>
          <w:lang w:val="zh-CN"/>
        </w:rPr>
        <w:t>需方指定的地点）完成本项目的交货、安装、调试（或施工）。货物运送的费用由供方负责。需方应在货物到达指定地点后，提供符合安装条件的场地、电源、环境等。</w:t>
      </w:r>
    </w:p>
    <w:p>
      <w:pPr>
        <w:spacing w:line="490" w:lineRule="exact"/>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Cs w:val="21"/>
          <w:lang w:val="zh-CN"/>
        </w:rPr>
        <w:t>六、资料</w:t>
      </w:r>
      <w:r>
        <w:rPr>
          <w:rFonts w:hint="eastAsia" w:asciiTheme="minorEastAsia" w:hAnsiTheme="minorEastAsia" w:eastAsiaTheme="minorEastAsia" w:cstheme="minorEastAsia"/>
          <w:szCs w:val="21"/>
          <w:lang w:val="zh-CN"/>
        </w:rPr>
        <w:t>：供方在交付货物时应向需方提供货物的使用说明、合格证书及其它相关资料，否则按不能交货对待。</w:t>
      </w:r>
    </w:p>
    <w:p>
      <w:pPr>
        <w:spacing w:line="49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七、验收要求。</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1、供方履约完毕及时向需方提出验收申请。</w:t>
      </w:r>
    </w:p>
    <w:p>
      <w:pPr>
        <w:spacing w:line="490" w:lineRule="exact"/>
        <w:ind w:firstLine="42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zh-CN"/>
        </w:rPr>
        <w:t>2、需方在收到供方验收申请后个工作日内组织验收。按照招标文件规定、中标供应商投标文件承诺，及国家有关规定认真组织验收工作</w:t>
      </w:r>
      <w:r>
        <w:rPr>
          <w:rFonts w:hint="eastAsia" w:asciiTheme="minorEastAsia" w:hAnsiTheme="minorEastAsia" w:eastAsiaTheme="minorEastAsia" w:cstheme="minorEastAsia"/>
          <w:szCs w:val="21"/>
          <w:lang w:eastAsia="zh-CN"/>
        </w:rPr>
        <w:t>。</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3、验收合格后日内，需方出具《温县政府采购验收报告》。</w:t>
      </w:r>
    </w:p>
    <w:p>
      <w:pPr>
        <w:spacing w:line="49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八、付款程序、方式及期限</w:t>
      </w:r>
      <w:r>
        <w:rPr>
          <w:rFonts w:hint="eastAsia" w:asciiTheme="minorEastAsia" w:hAnsiTheme="minorEastAsia" w:eastAsiaTheme="minorEastAsia" w:cstheme="minorEastAsia"/>
          <w:b/>
          <w:szCs w:val="21"/>
        </w:rPr>
        <w:t>：</w:t>
      </w:r>
    </w:p>
    <w:p>
      <w:pPr>
        <w:spacing w:line="490" w:lineRule="exact"/>
        <w:ind w:firstLine="420" w:firstLineChars="200"/>
        <w:rPr>
          <w:rFonts w:hint="eastAsia" w:asciiTheme="minorEastAsia" w:hAnsiTheme="minorEastAsia" w:eastAsiaTheme="minorEastAsia" w:cstheme="minorEastAsia"/>
          <w:b/>
          <w:color w:val="auto"/>
          <w:szCs w:val="21"/>
          <w:highlight w:val="none"/>
          <w:lang w:eastAsia="zh-CN"/>
        </w:rPr>
      </w:pPr>
      <w:r>
        <w:rPr>
          <w:rFonts w:hint="eastAsia" w:asciiTheme="minorEastAsia" w:hAnsiTheme="minorEastAsia" w:eastAsiaTheme="minorEastAsia" w:cstheme="minorEastAsia"/>
          <w:b/>
          <w:color w:val="auto"/>
          <w:szCs w:val="21"/>
          <w:highlight w:val="none"/>
          <w:lang w:eastAsia="zh-CN"/>
        </w:rPr>
        <w:t>门诊1-2楼的文化深化造型经确认小样并开始生产后，支付合同总价款的25%  （文化造型包含海报，雕像、展柜道具、展品等）；门诊3-5楼的文化深化造型经确认小样并开始生产后，支付合同总价款的35% ；全部完工并验收合格后，支付合同总价款的35%；剩余</w:t>
      </w:r>
      <w:r>
        <w:rPr>
          <w:rFonts w:hint="eastAsia" w:asciiTheme="minorEastAsia" w:hAnsiTheme="minorEastAsia" w:eastAsiaTheme="minorEastAsia" w:cstheme="minorEastAsia"/>
          <w:b/>
          <w:color w:val="auto"/>
          <w:szCs w:val="21"/>
          <w:highlight w:val="none"/>
          <w:lang w:val="en-US" w:eastAsia="zh-CN"/>
        </w:rPr>
        <w:t>5%，作为质保金，</w:t>
      </w:r>
      <w:r>
        <w:rPr>
          <w:rFonts w:hint="eastAsia" w:asciiTheme="minorEastAsia" w:hAnsiTheme="minorEastAsia" w:eastAsiaTheme="minorEastAsia" w:cstheme="minorEastAsia"/>
          <w:b/>
          <w:color w:val="auto"/>
          <w:szCs w:val="21"/>
          <w:highlight w:val="none"/>
          <w:lang w:eastAsia="zh-CN"/>
        </w:rPr>
        <w:t>质保满一年后，无质量问题后一次性付清（无息）。</w:t>
      </w:r>
    </w:p>
    <w:p>
      <w:pPr>
        <w:spacing w:line="49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九、</w:t>
      </w:r>
      <w:r>
        <w:rPr>
          <w:rFonts w:hint="eastAsia" w:asciiTheme="minorEastAsia" w:hAnsiTheme="minorEastAsia" w:eastAsiaTheme="minorEastAsia" w:cstheme="minorEastAsia"/>
          <w:szCs w:val="21"/>
          <w:lang w:val="zh-CN"/>
        </w:rPr>
        <w:t>本合同单价及总价为不变价，不受市场风险等因素的影响。</w:t>
      </w:r>
    </w:p>
    <w:p>
      <w:pPr>
        <w:spacing w:line="49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十、违约责任</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    1、</w:t>
      </w:r>
      <w:r>
        <w:rPr>
          <w:rFonts w:hint="eastAsia" w:asciiTheme="minorEastAsia" w:hAnsiTheme="minorEastAsia" w:eastAsiaTheme="minorEastAsia" w:cstheme="minorEastAsia"/>
          <w:szCs w:val="21"/>
          <w:lang w:val="zh-CN"/>
        </w:rPr>
        <w:t>供方所交付的货物品种、型号、规格、质量不符合国家规定标准及合同要求的，或者供方不能交付货物或完成系统安装、调试的，供方应向需方支付合同金额总值</w:t>
      </w:r>
      <w:r>
        <w:rPr>
          <w:rFonts w:hint="eastAsia" w:asciiTheme="minorEastAsia" w:hAnsiTheme="minorEastAsia" w:eastAsiaTheme="minorEastAsia" w:cstheme="minorEastAsia"/>
          <w:szCs w:val="21"/>
          <w:u w:val="single"/>
          <w:lang w:val="zh-CN"/>
        </w:rPr>
        <w:t xml:space="preserve"> 10 </w:t>
      </w:r>
      <w:r>
        <w:rPr>
          <w:rFonts w:hint="eastAsia" w:asciiTheme="minorEastAsia" w:hAnsiTheme="minorEastAsia" w:eastAsiaTheme="minorEastAsia" w:cstheme="minorEastAsia"/>
          <w:szCs w:val="21"/>
          <w:lang w:val="zh-CN"/>
        </w:rPr>
        <w:t xml:space="preserve"> %的违约金；需方并有权解除合同，要求供方赔偿损失。供方如逾期交付的，每逾期一日供方应向需方支付合同金额的</w:t>
      </w:r>
      <w:r>
        <w:rPr>
          <w:rFonts w:hint="eastAsia" w:asciiTheme="minorEastAsia" w:hAnsiTheme="minorEastAsia" w:eastAsiaTheme="minorEastAsia" w:cstheme="minorEastAsia"/>
          <w:szCs w:val="21"/>
          <w:u w:val="single"/>
          <w:lang w:val="zh-CN"/>
        </w:rPr>
        <w:t xml:space="preserve">  0.1 %</w:t>
      </w:r>
      <w:r>
        <w:rPr>
          <w:rFonts w:hint="eastAsia" w:asciiTheme="minorEastAsia" w:hAnsiTheme="minorEastAsia" w:eastAsiaTheme="minorEastAsia" w:cstheme="minorEastAsia"/>
          <w:szCs w:val="21"/>
          <w:lang w:val="zh-CN"/>
        </w:rPr>
        <w:t>的违约金。逾期交付的违约金总额不超过合同总金额的</w:t>
      </w:r>
      <w:r>
        <w:rPr>
          <w:rFonts w:hint="eastAsia" w:asciiTheme="minorEastAsia" w:hAnsiTheme="minorEastAsia" w:eastAsiaTheme="minorEastAsia" w:cstheme="minorEastAsia"/>
          <w:szCs w:val="21"/>
          <w:u w:val="single"/>
          <w:lang w:val="zh-CN"/>
        </w:rPr>
        <w:t>20%。</w:t>
      </w:r>
      <w:r>
        <w:rPr>
          <w:rFonts w:hint="eastAsia" w:asciiTheme="minorEastAsia" w:hAnsiTheme="minorEastAsia" w:eastAsiaTheme="minorEastAsia" w:cstheme="minorEastAsia"/>
          <w:szCs w:val="21"/>
          <w:lang w:val="zh-CN"/>
        </w:rPr>
        <w:t>逾期超过日的，需方有权解除合同或者选择继续履行；需方要求供方继续履行合同的，不影响需方向供方主张违约责任。</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    2、</w:t>
      </w:r>
      <w:r>
        <w:rPr>
          <w:rFonts w:hint="eastAsia" w:asciiTheme="minorEastAsia" w:hAnsiTheme="minorEastAsia" w:eastAsiaTheme="minorEastAsia" w:cstheme="minorEastAsia"/>
          <w:szCs w:val="21"/>
          <w:lang w:val="zh-CN"/>
        </w:rPr>
        <w:t>如需方违约，按合同一般条款执行。</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十一、争议的解决</w:t>
      </w:r>
      <w:r>
        <w:rPr>
          <w:rFonts w:hint="eastAsia" w:asciiTheme="minorEastAsia" w:hAnsiTheme="minorEastAsia" w:eastAsiaTheme="minorEastAsia" w:cstheme="minorEastAsia"/>
          <w:szCs w:val="21"/>
          <w:lang w:val="zh-CN"/>
        </w:rPr>
        <w:t>：</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1、双方友好协商；</w:t>
      </w:r>
    </w:p>
    <w:p>
      <w:pPr>
        <w:spacing w:line="49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2、提请主管部门进行调解；</w:t>
      </w:r>
    </w:p>
    <w:p>
      <w:pPr>
        <w:spacing w:line="48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3、由需方所在地人民法院诉讼管辖。</w:t>
      </w:r>
    </w:p>
    <w:p>
      <w:pPr>
        <w:spacing w:line="48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十二、合同生效、备案及其它</w:t>
      </w:r>
    </w:p>
    <w:p>
      <w:pPr>
        <w:spacing w:line="48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1、本合同经双方代表签字并加盖公章后生效。</w:t>
      </w:r>
      <w:r>
        <w:rPr>
          <w:rFonts w:hint="eastAsia" w:asciiTheme="minorEastAsia" w:hAnsiTheme="minorEastAsia" w:eastAsiaTheme="minorEastAsia" w:cstheme="minorEastAsia"/>
          <w:szCs w:val="21"/>
          <w:lang w:val="en-US" w:eastAsia="zh-CN"/>
        </w:rPr>
        <w:t xml:space="preserve"> </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2、本合同一式五份，供需双方各持一份，在合同签订之日起七个工作日内交付温县财政局备案一份、温县公共资源交易中心存档一份，办理资金支付手续时提交一份。</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lang w:val="zh-CN"/>
        </w:rPr>
        <w:t>本合同未尽事宜，供需双方可签订补充协议，但补充协议不得违背本招标文件及供方的投标文件或报价文件的实质性约定内容。</w:t>
      </w:r>
    </w:p>
    <w:p>
      <w:pPr>
        <w:spacing w:line="480" w:lineRule="exact"/>
        <w:rPr>
          <w:rFonts w:hint="eastAsia" w:asciiTheme="minorEastAsia" w:hAnsiTheme="minorEastAsia" w:eastAsiaTheme="minorEastAsia" w:cstheme="minorEastAsia"/>
          <w:szCs w:val="21"/>
        </w:rPr>
      </w:pP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供方（公章）：需方（公章）：</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地址：地址：</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法定代表人或委托法定代表人或委托</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代理人（签字）：代理人（签字）：</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电话：电话：</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开户行：开户行：</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账号：账号：</w:t>
      </w:r>
    </w:p>
    <w:p>
      <w:pPr>
        <w:spacing w:line="4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签约时间：年月日签约时间：年月日</w:t>
      </w:r>
    </w:p>
    <w:p>
      <w:pPr>
        <w:spacing w:line="360" w:lineRule="exact"/>
        <w:ind w:firstLine="315" w:firstLineChars="150"/>
        <w:rPr>
          <w:rFonts w:hint="eastAsia" w:asciiTheme="minorEastAsia" w:hAnsiTheme="minorEastAsia" w:eastAsiaTheme="minorEastAsia" w:cstheme="minorEastAsia"/>
          <w:szCs w:val="21"/>
        </w:rPr>
      </w:pPr>
    </w:p>
    <w:p>
      <w:pPr>
        <w:spacing w:line="360" w:lineRule="exact"/>
        <w:ind w:firstLine="315" w:firstLineChars="150"/>
        <w:rPr>
          <w:rFonts w:hint="eastAsia" w:asciiTheme="minorEastAsia" w:hAnsiTheme="minorEastAsia" w:eastAsiaTheme="minorEastAsia" w:cstheme="minorEastAsia"/>
          <w:szCs w:val="21"/>
        </w:rPr>
      </w:pPr>
    </w:p>
    <w:p>
      <w:pPr>
        <w:spacing w:line="360" w:lineRule="exact"/>
        <w:ind w:firstLine="315" w:firstLineChars="150"/>
        <w:rPr>
          <w:rFonts w:hint="eastAsia" w:asciiTheme="minorEastAsia" w:hAnsiTheme="minorEastAsia" w:eastAsiaTheme="minorEastAsia" w:cstheme="minorEastAsia"/>
          <w:szCs w:val="21"/>
        </w:rPr>
      </w:pPr>
    </w:p>
    <w:p>
      <w:pPr>
        <w:spacing w:line="360" w:lineRule="exact"/>
        <w:jc w:val="right"/>
        <w:rPr>
          <w:rFonts w:hint="eastAsia" w:asciiTheme="minorEastAsia" w:hAnsiTheme="minorEastAsia" w:eastAsiaTheme="minorEastAsia" w:cstheme="minorEastAsia"/>
          <w:szCs w:val="21"/>
        </w:rPr>
      </w:pPr>
      <w:bookmarkStart w:id="239" w:name="_Toc21953"/>
    </w:p>
    <w:p>
      <w:pPr>
        <w:spacing w:line="360" w:lineRule="exact"/>
        <w:jc w:val="right"/>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bookmarkStart w:id="240" w:name="_Toc26661"/>
      <w:bookmarkStart w:id="241" w:name="_Toc488422615"/>
      <w:bookmarkStart w:id="242" w:name="_Toc1640"/>
      <w:bookmarkStart w:id="243" w:name="_Toc488422016"/>
    </w:p>
    <w:p>
      <w:pPr>
        <w:rPr>
          <w:rFonts w:hint="eastAsia" w:asciiTheme="minorEastAsia" w:hAnsiTheme="minorEastAsia" w:eastAsiaTheme="minorEastAsia" w:cstheme="minorEastAsia"/>
        </w:rPr>
      </w:pPr>
      <w:bookmarkStart w:id="244" w:name="_Toc1815"/>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spacing w:line="480" w:lineRule="exact"/>
        <w:ind w:left="425"/>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color w:val="auto"/>
          <w:sz w:val="32"/>
          <w:szCs w:val="32"/>
        </w:rPr>
        <w:t>第六章投标文件格式</w:t>
      </w:r>
      <w:bookmarkEnd w:id="240"/>
      <w:bookmarkEnd w:id="244"/>
    </w:p>
    <w:p>
      <w:pPr>
        <w:jc w:val="right"/>
        <w:rPr>
          <w:rFonts w:hint="eastAsia" w:asciiTheme="minorEastAsia" w:hAnsiTheme="minorEastAsia" w:eastAsiaTheme="minorEastAsia" w:cstheme="minorEastAsia"/>
        </w:rPr>
      </w:pPr>
      <w:bookmarkStart w:id="245" w:name="_Toc12294"/>
      <w:bookmarkStart w:id="246" w:name="_Toc26631"/>
      <w:bookmarkStart w:id="247" w:name="_Toc24074"/>
      <w:bookmarkStart w:id="248" w:name="_Toc16701"/>
      <w:bookmarkStart w:id="249" w:name="_Toc27148143"/>
      <w:r>
        <w:rPr>
          <w:rFonts w:hint="eastAsia" w:asciiTheme="minorEastAsia" w:hAnsiTheme="minorEastAsia" w:eastAsiaTheme="minorEastAsia" w:cstheme="minorEastAsia"/>
          <w:b/>
          <w:bCs/>
          <w:sz w:val="30"/>
          <w:szCs w:val="30"/>
        </w:rPr>
        <w:t>正本/副本</w:t>
      </w:r>
      <w:bookmarkEnd w:id="239"/>
      <w:bookmarkEnd w:id="241"/>
      <w:bookmarkEnd w:id="242"/>
      <w:bookmarkEnd w:id="243"/>
      <w:bookmarkEnd w:id="245"/>
      <w:bookmarkEnd w:id="246"/>
      <w:bookmarkEnd w:id="247"/>
      <w:bookmarkEnd w:id="248"/>
      <w:bookmarkEnd w:id="249"/>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360" w:lineRule="exact"/>
        <w:rPr>
          <w:rFonts w:hint="eastAsia" w:asciiTheme="minorEastAsia" w:hAnsiTheme="minorEastAsia" w:eastAsiaTheme="minorEastAsia" w:cstheme="minorEastAsia"/>
          <w:b/>
          <w:sz w:val="44"/>
          <w:szCs w:val="44"/>
        </w:rPr>
      </w:pPr>
    </w:p>
    <w:p>
      <w:pPr>
        <w:spacing w:line="360" w:lineRule="exact"/>
        <w:jc w:val="center"/>
        <w:rPr>
          <w:rFonts w:hint="eastAsia" w:asciiTheme="minorEastAsia" w:hAnsiTheme="minorEastAsia" w:eastAsiaTheme="minorEastAsia" w:cstheme="minorEastAsia"/>
          <w:b/>
          <w:sz w:val="36"/>
          <w:szCs w:val="36"/>
          <w:u w:val="single"/>
        </w:rPr>
      </w:pPr>
      <w:r>
        <w:rPr>
          <w:rFonts w:hint="eastAsia" w:asciiTheme="minorEastAsia" w:hAnsiTheme="minorEastAsia" w:eastAsiaTheme="minorEastAsia" w:cstheme="minorEastAsia"/>
          <w:b/>
          <w:sz w:val="36"/>
          <w:szCs w:val="36"/>
        </w:rPr>
        <w:t>______________________项目名称</w:t>
      </w:r>
    </w:p>
    <w:p>
      <w:pPr>
        <w:spacing w:line="480" w:lineRule="exact"/>
        <w:jc w:val="center"/>
        <w:rPr>
          <w:rFonts w:hint="eastAsia" w:asciiTheme="minorEastAsia" w:hAnsiTheme="minorEastAsia" w:eastAsiaTheme="minorEastAsia" w:cstheme="minorEastAsia"/>
          <w:spacing w:val="-20"/>
          <w:sz w:val="44"/>
          <w:szCs w:val="44"/>
        </w:rPr>
      </w:pPr>
    </w:p>
    <w:p>
      <w:pPr>
        <w:spacing w:line="480" w:lineRule="exact"/>
        <w:jc w:val="center"/>
        <w:rPr>
          <w:rFonts w:hint="eastAsia" w:asciiTheme="minorEastAsia" w:hAnsiTheme="minorEastAsia" w:eastAsiaTheme="minorEastAsia" w:cstheme="minorEastAsia"/>
          <w:b/>
          <w:sz w:val="44"/>
          <w:szCs w:val="44"/>
        </w:rPr>
      </w:pPr>
    </w:p>
    <w:p>
      <w:pPr>
        <w:spacing w:line="480" w:lineRule="exact"/>
        <w:rPr>
          <w:rFonts w:hint="eastAsia" w:asciiTheme="minorEastAsia" w:hAnsiTheme="minorEastAsia" w:eastAsiaTheme="minorEastAsia" w:cstheme="minorEastAsia"/>
          <w:b/>
          <w:sz w:val="44"/>
          <w:szCs w:val="44"/>
        </w:rPr>
      </w:pPr>
    </w:p>
    <w:p>
      <w:pPr>
        <w:spacing w:line="48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投标文件</w:t>
      </w:r>
    </w:p>
    <w:p>
      <w:pPr>
        <w:spacing w:line="480" w:lineRule="exact"/>
        <w:jc w:val="center"/>
        <w:rPr>
          <w:rFonts w:hint="eastAsia" w:asciiTheme="minorEastAsia" w:hAnsiTheme="minorEastAsia" w:eastAsiaTheme="minorEastAsia" w:cstheme="minorEastAsia"/>
          <w:b/>
          <w:sz w:val="44"/>
          <w:szCs w:val="44"/>
        </w:rPr>
      </w:pPr>
    </w:p>
    <w:p>
      <w:pPr>
        <w:spacing w:line="480" w:lineRule="exact"/>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交易编号：温交易【202</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  号</w:t>
      </w:r>
      <w:r>
        <w:rPr>
          <w:rFonts w:hint="eastAsia" w:asciiTheme="minorEastAsia" w:hAnsiTheme="minorEastAsia" w:eastAsiaTheme="minorEastAsia" w:cstheme="minorEastAsia"/>
          <w:szCs w:val="21"/>
          <w:lang w:val="en-US" w:eastAsia="zh-CN"/>
        </w:rPr>
        <w:t xml:space="preserve"> </w:t>
      </w:r>
    </w:p>
    <w:p>
      <w:pPr>
        <w:spacing w:line="4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采购编号：温政采【202</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  号</w:t>
      </w:r>
    </w:p>
    <w:p>
      <w:pPr>
        <w:spacing w:line="480" w:lineRule="exact"/>
        <w:rPr>
          <w:rFonts w:hint="eastAsia" w:asciiTheme="minorEastAsia" w:hAnsiTheme="minorEastAsia" w:eastAsiaTheme="minorEastAsia" w:cstheme="minorEastAsia"/>
          <w:szCs w:val="21"/>
        </w:rPr>
      </w:pPr>
    </w:p>
    <w:p>
      <w:pPr>
        <w:spacing w:line="48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rPr>
          <w:rFonts w:hint="eastAsia" w:asciiTheme="minorEastAsia" w:hAnsiTheme="minorEastAsia" w:eastAsiaTheme="minorEastAsia" w:cstheme="minorEastAsia"/>
          <w:szCs w:val="21"/>
        </w:rPr>
      </w:pPr>
    </w:p>
    <w:p>
      <w:pPr>
        <w:spacing w:line="360" w:lineRule="exact"/>
        <w:ind w:firstLine="1654" w:firstLineChars="59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供应商：</w:t>
      </w:r>
      <w:r>
        <w:rPr>
          <w:rFonts w:hint="eastAsia" w:asciiTheme="minorEastAsia" w:hAnsiTheme="minorEastAsia" w:eastAsiaTheme="minorEastAsia" w:cstheme="minorEastAsia"/>
          <w:b/>
          <w:sz w:val="28"/>
          <w:szCs w:val="28"/>
          <w:u w:val="single"/>
        </w:rPr>
        <w:t>单位全称（加盖单位公章）</w:t>
      </w:r>
    </w:p>
    <w:p>
      <w:pPr>
        <w:spacing w:line="360" w:lineRule="exact"/>
        <w:ind w:firstLine="1391" w:firstLineChars="497"/>
        <w:rPr>
          <w:rFonts w:hint="eastAsia"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rPr>
        <w:t>法定代表人或授权代理人：</w:t>
      </w:r>
      <w:r>
        <w:rPr>
          <w:rFonts w:hint="eastAsia" w:asciiTheme="minorEastAsia" w:hAnsiTheme="minorEastAsia" w:eastAsiaTheme="minorEastAsia" w:cstheme="minorEastAsia"/>
          <w:b/>
          <w:sz w:val="28"/>
          <w:szCs w:val="28"/>
          <w:u w:val="single"/>
        </w:rPr>
        <w:t>（签字或加盖印鉴）</w:t>
      </w:r>
    </w:p>
    <w:p>
      <w:pPr>
        <w:spacing w:line="36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8"/>
          <w:szCs w:val="28"/>
        </w:rPr>
        <w:t>年月日</w:t>
      </w:r>
    </w:p>
    <w:p>
      <w:pPr>
        <w:spacing w:line="36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360" w:lineRule="exact"/>
        <w:jc w:val="center"/>
        <w:rPr>
          <w:rFonts w:hint="eastAsia" w:asciiTheme="minorEastAsia" w:hAnsiTheme="minorEastAsia" w:eastAsiaTheme="minorEastAsia" w:cstheme="minorEastAsia"/>
          <w:b/>
          <w:sz w:val="32"/>
          <w:szCs w:val="32"/>
        </w:rPr>
      </w:pPr>
    </w:p>
    <w:p>
      <w:pPr>
        <w:spacing w:line="36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目录</w:t>
      </w:r>
    </w:p>
    <w:p>
      <w:pPr>
        <w:spacing w:line="360" w:lineRule="exact"/>
        <w:jc w:val="center"/>
        <w:rPr>
          <w:rFonts w:hint="eastAsia" w:asciiTheme="minorEastAsia" w:hAnsiTheme="minorEastAsia" w:eastAsiaTheme="minorEastAsia" w:cstheme="minorEastAsia"/>
          <w:sz w:val="28"/>
          <w:szCs w:val="28"/>
        </w:rPr>
      </w:pPr>
    </w:p>
    <w:p>
      <w:pPr>
        <w:spacing w:line="360" w:lineRule="exact"/>
        <w:jc w:val="center"/>
        <w:rPr>
          <w:rFonts w:hint="eastAsia" w:asciiTheme="minorEastAsia" w:hAnsiTheme="minorEastAsia" w:eastAsiaTheme="minorEastAsia" w:cstheme="minorEastAsia"/>
          <w:sz w:val="28"/>
          <w:szCs w:val="28"/>
        </w:rPr>
      </w:pPr>
    </w:p>
    <w:p>
      <w:pPr>
        <w:spacing w:line="3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（建议按照招标文件《参考格式》顺序编写）</w:t>
      </w:r>
    </w:p>
    <w:p>
      <w:pPr>
        <w:spacing w:line="360" w:lineRule="exact"/>
        <w:jc w:val="center"/>
        <w:rPr>
          <w:rFonts w:hint="eastAsia" w:asciiTheme="minorEastAsia" w:hAnsiTheme="minorEastAsia" w:eastAsiaTheme="minorEastAsia" w:cstheme="minorEastAsia"/>
          <w:b/>
          <w:sz w:val="28"/>
          <w:szCs w:val="28"/>
        </w:rPr>
      </w:pP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w:t>
      </w:r>
      <w:bookmarkStart w:id="250" w:name="OLE_LINK3"/>
      <w:r>
        <w:rPr>
          <w:rFonts w:hint="eastAsia" w:asciiTheme="minorEastAsia" w:hAnsiTheme="minorEastAsia" w:eastAsiaTheme="minorEastAsia" w:cstheme="minorEastAsia"/>
          <w:bCs/>
          <w:kern w:val="0"/>
          <w:szCs w:val="21"/>
        </w:rPr>
        <w:t>投标函</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二、投标一览表</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三、货物清单及报价明细表</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四、技术</w:t>
      </w:r>
      <w:r>
        <w:rPr>
          <w:rFonts w:hint="eastAsia" w:asciiTheme="minorEastAsia" w:hAnsiTheme="minorEastAsia" w:eastAsiaTheme="minorEastAsia" w:cstheme="minorEastAsia"/>
          <w:bCs/>
          <w:kern w:val="0"/>
          <w:szCs w:val="21"/>
          <w:lang w:eastAsia="zh-CN"/>
        </w:rPr>
        <w:t>方案</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五、法定代表人身份证明</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六、授权委托书</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七、</w:t>
      </w:r>
      <w:r>
        <w:rPr>
          <w:rFonts w:hint="eastAsia" w:asciiTheme="minorEastAsia" w:hAnsiTheme="minorEastAsia" w:eastAsiaTheme="minorEastAsia" w:cstheme="minorEastAsia"/>
        </w:rPr>
        <w:t>供应商基本情况表</w:t>
      </w:r>
    </w:p>
    <w:p>
      <w:pPr>
        <w:autoSpaceDE w:val="0"/>
        <w:autoSpaceDN w:val="0"/>
        <w:adjustRightInd w:val="0"/>
        <w:spacing w:line="440" w:lineRule="exact"/>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八、投标承诺函</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九、企业业绩</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十、无行贿犯罪承诺书</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十一、反商业贿赂承诺书</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十二、供应商资格证明文件</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十三、节</w:t>
      </w:r>
      <w:r>
        <w:rPr>
          <w:rFonts w:hint="eastAsia" w:asciiTheme="minorEastAsia" w:hAnsiTheme="minorEastAsia" w:eastAsiaTheme="minorEastAsia" w:cstheme="minorEastAsia"/>
          <w:szCs w:val="32"/>
        </w:rPr>
        <w:t>能产品、环境标志产品明细表</w:t>
      </w:r>
    </w:p>
    <w:p>
      <w:pPr>
        <w:autoSpaceDE w:val="0"/>
        <w:autoSpaceDN w:val="0"/>
        <w:adjustRightInd w:val="0"/>
        <w:spacing w:line="440" w:lineRule="exact"/>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十四、供应商认为应提供的其他材料</w:t>
      </w:r>
    </w:p>
    <w:bookmarkEnd w:id="250"/>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rPr>
      </w:pPr>
      <w:bookmarkStart w:id="251" w:name="_Toc26420"/>
      <w:bookmarkStart w:id="252" w:name="_Toc27148144"/>
      <w:r>
        <w:rPr>
          <w:rFonts w:hint="eastAsia" w:asciiTheme="minorEastAsia" w:hAnsiTheme="minorEastAsia" w:eastAsiaTheme="minorEastAsia" w:cstheme="minorEastAsia"/>
        </w:rPr>
        <w:t>一、投标函</w:t>
      </w:r>
      <w:bookmarkEnd w:id="251"/>
      <w:bookmarkEnd w:id="252"/>
    </w:p>
    <w:p>
      <w:pPr>
        <w:rPr>
          <w:rFonts w:hint="eastAsia" w:asciiTheme="minorEastAsia" w:hAnsiTheme="minorEastAsia" w:eastAsiaTheme="minorEastAsia" w:cstheme="minorEastAsia"/>
        </w:rPr>
      </w:pPr>
    </w:p>
    <w:p>
      <w:pPr>
        <w:spacing w:line="520" w:lineRule="exact"/>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b/>
          <w:szCs w:val="21"/>
        </w:rPr>
        <w:t>致：</w:t>
      </w:r>
      <w:r>
        <w:rPr>
          <w:rFonts w:hint="eastAsia" w:asciiTheme="minorEastAsia" w:hAnsiTheme="minorEastAsia" w:eastAsiaTheme="minorEastAsia" w:cstheme="minorEastAsia"/>
          <w:szCs w:val="21"/>
        </w:rPr>
        <w:t>（采购人名称）</w:t>
      </w:r>
    </w:p>
    <w:p>
      <w:pPr>
        <w:spacing w:line="520" w:lineRule="exac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根据贵方</w:t>
      </w:r>
      <w:r>
        <w:rPr>
          <w:rFonts w:hint="eastAsia" w:asciiTheme="minorEastAsia" w:hAnsiTheme="minorEastAsia" w:eastAsiaTheme="minorEastAsia" w:cstheme="minorEastAsia"/>
          <w:szCs w:val="21"/>
          <w:u w:val="single"/>
        </w:rPr>
        <w:t>（项目名称和项目编号）</w:t>
      </w:r>
      <w:r>
        <w:rPr>
          <w:rFonts w:hint="eastAsia" w:asciiTheme="minorEastAsia" w:hAnsiTheme="minorEastAsia" w:eastAsiaTheme="minorEastAsia" w:cstheme="minorEastAsia"/>
          <w:szCs w:val="21"/>
        </w:rPr>
        <w:t>招标文件之投标邀请，签字代表：</w:t>
      </w:r>
      <w:r>
        <w:rPr>
          <w:rFonts w:hint="eastAsia" w:asciiTheme="minorEastAsia" w:hAnsiTheme="minorEastAsia" w:eastAsiaTheme="minorEastAsia" w:cstheme="minorEastAsia"/>
          <w:szCs w:val="21"/>
          <w:u w:val="single"/>
        </w:rPr>
        <w:t>（法人代表或负责人）</w:t>
      </w:r>
      <w:r>
        <w:rPr>
          <w:rFonts w:hint="eastAsia" w:asciiTheme="minorEastAsia" w:hAnsiTheme="minorEastAsia" w:eastAsiaTheme="minorEastAsia" w:cstheme="minorEastAsia"/>
          <w:szCs w:val="21"/>
        </w:rPr>
        <w:t>正式授权并代表供应商</w:t>
      </w:r>
      <w:r>
        <w:rPr>
          <w:rFonts w:hint="eastAsia" w:asciiTheme="minorEastAsia" w:hAnsiTheme="minorEastAsia" w:eastAsiaTheme="minorEastAsia" w:cstheme="minorEastAsia"/>
          <w:szCs w:val="21"/>
          <w:u w:val="single"/>
        </w:rPr>
        <w:t>（单位名称、单位地址）</w:t>
      </w:r>
      <w:r>
        <w:rPr>
          <w:rFonts w:hint="eastAsia" w:asciiTheme="minorEastAsia" w:hAnsiTheme="minorEastAsia" w:eastAsiaTheme="minorEastAsia" w:cstheme="minorEastAsia"/>
          <w:szCs w:val="21"/>
        </w:rPr>
        <w:t>提交以下文件正本</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份和副本___份，并对之负法律责任。</w:t>
      </w:r>
    </w:p>
    <w:p>
      <w:pPr>
        <w:spacing w:line="52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据此函，签字代表宣布同意如下：</w:t>
      </w:r>
    </w:p>
    <w:p>
      <w:pPr>
        <w:spacing w:line="520" w:lineRule="exact"/>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1、我方投标总价为人民币</w:t>
      </w:r>
      <w:r>
        <w:rPr>
          <w:rFonts w:hint="eastAsia" w:asciiTheme="minorEastAsia" w:hAnsiTheme="minorEastAsia" w:eastAsiaTheme="minorEastAsia" w:cstheme="minorEastAsia"/>
          <w:b/>
          <w:szCs w:val="21"/>
        </w:rPr>
        <w:t>（大写）_______________</w:t>
      </w:r>
      <w:r>
        <w:rPr>
          <w:rFonts w:hint="eastAsia" w:asciiTheme="minorEastAsia" w:hAnsiTheme="minorEastAsia" w:eastAsiaTheme="minorEastAsia" w:cstheme="minorEastAsia"/>
          <w:szCs w:val="21"/>
        </w:rPr>
        <w:t>（小写）___________元</w:t>
      </w:r>
    </w:p>
    <w:p>
      <w:pPr>
        <w:spacing w:line="520" w:lineRule="exact"/>
        <w:ind w:firstLine="315" w:firstLineChars="150"/>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rPr>
        <w:t xml:space="preserve"> 2、期限：____</w:t>
      </w:r>
      <w:r>
        <w:rPr>
          <w:rFonts w:hint="eastAsia" w:asciiTheme="minorEastAsia" w:hAnsiTheme="minorEastAsia" w:eastAsiaTheme="minorEastAsia" w:cstheme="minorEastAsia"/>
          <w:szCs w:val="21"/>
          <w:lang w:eastAsia="zh-CN"/>
        </w:rPr>
        <w:t>日历天</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3、如果我们的投标文件被接受，我们将按招标文件的规定签订并严格履行合同中的责任和义务。</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4、供应商已详细审查全部招标文件，包括修改文件以及全部参考资料和有关附件。我们完全理解并同意放弃对这方面有不明及误解的权利。</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5、提供的货物是原装全新、符合招标文件规定技术参数的设备或产品；</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6、本投标自开标日起有效期为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none"/>
        </w:rPr>
        <w:t>日历天</w:t>
      </w:r>
      <w:r>
        <w:rPr>
          <w:rFonts w:hint="eastAsia" w:asciiTheme="minorEastAsia" w:hAnsiTheme="minorEastAsia" w:eastAsiaTheme="minorEastAsia" w:cstheme="minorEastAsia"/>
          <w:szCs w:val="21"/>
        </w:rPr>
        <w:t>。</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7、如果在规定的开标时间后，供应商不能在投标有效期内撤回投标。</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8、供应商同意提供按照贵方可能要求的与其投标有关的一切数据或资料，完全理解贵方不一定接受最低价的投标或其他任何投标。</w:t>
      </w:r>
    </w:p>
    <w:p>
      <w:pPr>
        <w:spacing w:line="520" w:lineRule="exact"/>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供应商地址：</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电话（传真）:   </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邮政编码：</w:t>
      </w:r>
    </w:p>
    <w:p>
      <w:pPr>
        <w:spacing w:line="520" w:lineRule="exact"/>
        <w:ind w:firstLine="315" w:firstLineChars="150"/>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开户银行及账号：</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法定代表人或授权委托人签字:</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供应商名称（公章）</w:t>
      </w:r>
    </w:p>
    <w:p>
      <w:pPr>
        <w:spacing w:line="52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日期：年月日</w:t>
      </w:r>
      <w:bookmarkStart w:id="253" w:name="_Toc20179"/>
    </w:p>
    <w:p>
      <w:pPr>
        <w:spacing w:line="520" w:lineRule="exact"/>
        <w:ind w:firstLine="315" w:firstLineChars="150"/>
        <w:rPr>
          <w:rFonts w:hint="eastAsia" w:asciiTheme="minorEastAsia" w:hAnsiTheme="minorEastAsia" w:eastAsiaTheme="minorEastAsia" w:cstheme="minorEastAsia"/>
          <w:szCs w:val="21"/>
        </w:rPr>
      </w:pPr>
    </w:p>
    <w:p>
      <w:pPr>
        <w:spacing w:line="520" w:lineRule="exact"/>
        <w:ind w:firstLine="315" w:firstLineChars="150"/>
        <w:rPr>
          <w:rFonts w:hint="eastAsia" w:asciiTheme="minorEastAsia" w:hAnsiTheme="minorEastAsia" w:eastAsiaTheme="minorEastAsia" w:cstheme="minorEastAsia"/>
          <w:szCs w:val="21"/>
        </w:rPr>
      </w:pPr>
    </w:p>
    <w:p>
      <w:pPr>
        <w:pStyle w:val="2"/>
        <w:numPr>
          <w:ilvl w:val="1"/>
          <w:numId w:val="0"/>
        </w:numPr>
        <w:jc w:val="center"/>
        <w:rPr>
          <w:rFonts w:hint="eastAsia" w:asciiTheme="minorEastAsia" w:hAnsiTheme="minorEastAsia" w:eastAsiaTheme="minorEastAsia" w:cstheme="minorEastAsia"/>
          <w:b w:val="0"/>
          <w:szCs w:val="21"/>
        </w:rPr>
      </w:pPr>
      <w:bookmarkStart w:id="254" w:name="_Toc26070"/>
      <w:bookmarkStart w:id="255" w:name="_Toc14327"/>
      <w:bookmarkStart w:id="256" w:name="_Toc27148145"/>
      <w:bookmarkStart w:id="257" w:name="_Toc30491"/>
      <w:r>
        <w:rPr>
          <w:rFonts w:hint="eastAsia" w:asciiTheme="minorEastAsia" w:hAnsiTheme="minorEastAsia" w:eastAsiaTheme="minorEastAsia" w:cstheme="minorEastAsia"/>
        </w:rPr>
        <w:t>二、投标一览表</w:t>
      </w:r>
      <w:bookmarkEnd w:id="253"/>
      <w:bookmarkEnd w:id="254"/>
      <w:bookmarkEnd w:id="255"/>
      <w:bookmarkEnd w:id="256"/>
      <w:bookmarkEnd w:id="257"/>
    </w:p>
    <w:tbl>
      <w:tblPr>
        <w:tblStyle w:val="40"/>
        <w:tblW w:w="9680" w:type="dxa"/>
        <w:tblInd w:w="0" w:type="dxa"/>
        <w:tblLayout w:type="fixed"/>
        <w:tblCellMar>
          <w:top w:w="0" w:type="dxa"/>
          <w:left w:w="0" w:type="dxa"/>
          <w:bottom w:w="0" w:type="dxa"/>
          <w:right w:w="0" w:type="dxa"/>
        </w:tblCellMar>
      </w:tblPr>
      <w:tblGrid>
        <w:gridCol w:w="1700"/>
        <w:gridCol w:w="4032"/>
        <w:gridCol w:w="1447"/>
        <w:gridCol w:w="2501"/>
      </w:tblGrid>
      <w:tr>
        <w:tblPrEx>
          <w:tblLayout w:type="fixed"/>
          <w:tblCellMar>
            <w:top w:w="0" w:type="dxa"/>
            <w:left w:w="0" w:type="dxa"/>
            <w:bottom w:w="0" w:type="dxa"/>
            <w:right w:w="0" w:type="dxa"/>
          </w:tblCellMar>
        </w:tblPrEx>
        <w:trPr>
          <w:cantSplit/>
          <w:trHeight w:val="838" w:hRule="atLeast"/>
        </w:trPr>
        <w:tc>
          <w:tcPr>
            <w:tcW w:w="1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40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p>
        </w:tc>
        <w:tc>
          <w:tcPr>
            <w:tcW w:w="1447"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c>
        <w:tc>
          <w:tcPr>
            <w:tcW w:w="2501"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Cs w:val="21"/>
              </w:rPr>
            </w:pPr>
          </w:p>
        </w:tc>
      </w:tr>
      <w:tr>
        <w:tblPrEx>
          <w:tblLayout w:type="fixed"/>
          <w:tblCellMar>
            <w:top w:w="0" w:type="dxa"/>
            <w:left w:w="0" w:type="dxa"/>
            <w:bottom w:w="0" w:type="dxa"/>
            <w:right w:w="0" w:type="dxa"/>
          </w:tblCellMar>
        </w:tblPrEx>
        <w:trPr>
          <w:cantSplit/>
          <w:trHeight w:val="1951" w:hRule="atLeast"/>
        </w:trPr>
        <w:tc>
          <w:tcPr>
            <w:tcW w:w="170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投标总报价</w:t>
            </w:r>
          </w:p>
          <w:p>
            <w:pPr>
              <w:spacing w:line="360" w:lineRule="exact"/>
              <w:rPr>
                <w:rFonts w:hint="eastAsia" w:asciiTheme="minorEastAsia" w:hAnsiTheme="minorEastAsia" w:eastAsiaTheme="minorEastAsia" w:cstheme="minorEastAsia"/>
                <w:szCs w:val="21"/>
              </w:rPr>
            </w:pPr>
          </w:p>
        </w:tc>
        <w:tc>
          <w:tcPr>
            <w:tcW w:w="798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p>
          <w:p>
            <w:pPr>
              <w:spacing w:line="360" w:lineRule="exact"/>
              <w:ind w:firstLine="1575" w:firstLineChars="7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2155825</wp:posOffset>
                      </wp:positionH>
                      <wp:positionV relativeFrom="paragraph">
                        <wp:posOffset>227330</wp:posOffset>
                      </wp:positionV>
                      <wp:extent cx="1066800" cy="635"/>
                      <wp:effectExtent l="0" t="0" r="0" b="0"/>
                      <wp:wrapNone/>
                      <wp:docPr id="1" name="Line 2"/>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69.75pt;margin-top:17.9pt;height:0.05pt;width:84pt;z-index:251659264;mso-width-relative:page;mso-height-relative:page;" filled="f" stroked="t" coordsize="21600,21600" o:gfxdata="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9UHdfXAAAACQEAAA8AAAAAAAAAAQAgAAAAIgAAAGRycy9kb3ducmV2Lnht&#10;bFBLAQIUABQAAAAIAIdO4kCEqhvawQEAAI0DAAAOAAAAAAAAAAEAIAAAACYBAABkcnMvZTJvRG9j&#10;LnhtbFBLBQYAAAAABgAGAFkBAABZ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1"/>
              </w:rPr>
              <w:t>人民币大写：</w:t>
            </w:r>
          </w:p>
          <w:p>
            <w:pPr>
              <w:spacing w:line="360" w:lineRule="exact"/>
              <w:ind w:firstLine="1575" w:firstLineChars="7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mc:AlternateContent>
                <mc:Choice Requires="wps">
                  <w:drawing>
                    <wp:anchor distT="0" distB="0" distL="114300" distR="114300" simplePos="0" relativeHeight="251660288" behindDoc="0" locked="0" layoutInCell="1" allowOverlap="1">
                      <wp:simplePos x="0" y="0"/>
                      <wp:positionH relativeFrom="column">
                        <wp:posOffset>2157095</wp:posOffset>
                      </wp:positionH>
                      <wp:positionV relativeFrom="paragraph">
                        <wp:posOffset>242570</wp:posOffset>
                      </wp:positionV>
                      <wp:extent cx="1066800" cy="635"/>
                      <wp:effectExtent l="0" t="0" r="0" b="0"/>
                      <wp:wrapNone/>
                      <wp:docPr id="2" name="Line 3"/>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9.85pt;margin-top:19.1pt;height:0.05pt;width:84pt;z-index:251660288;mso-width-relative:page;mso-height-relative:page;" filled="f" stroked="t" coordsize="21600,21600" o:gfxdata="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SQm1wAAAAkBAAAPAAAAAAAAAAEAIAAAACIAAABkcnMvZG93bnJldi54&#10;bWxQSwECFAAUAAAACACHTuJAWjqs5MIBAACNAwAADgAAAAAAAAABACAAAAAmAQAAZHJzL2Uyb0Rv&#10;Yy54bWxQSwUGAAAAAAYABgBZAQAAWg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1"/>
              </w:rPr>
              <w:t>人民币小写：</w:t>
            </w:r>
          </w:p>
          <w:p>
            <w:pPr>
              <w:spacing w:line="360" w:lineRule="exact"/>
              <w:jc w:val="center"/>
              <w:rPr>
                <w:rFonts w:hint="eastAsia" w:asciiTheme="minorEastAsia" w:hAnsiTheme="minorEastAsia" w:eastAsiaTheme="minorEastAsia" w:cstheme="minorEastAsia"/>
                <w:szCs w:val="21"/>
                <w:u w:val="single"/>
              </w:rPr>
            </w:pPr>
          </w:p>
        </w:tc>
      </w:tr>
      <w:tr>
        <w:tblPrEx>
          <w:tblLayout w:type="fixed"/>
          <w:tblCellMar>
            <w:top w:w="0" w:type="dxa"/>
            <w:left w:w="0" w:type="dxa"/>
            <w:bottom w:w="0" w:type="dxa"/>
            <w:right w:w="0" w:type="dxa"/>
          </w:tblCellMar>
        </w:tblPrEx>
        <w:trPr>
          <w:cantSplit/>
          <w:trHeight w:val="813" w:hRule="atLeast"/>
        </w:trPr>
        <w:tc>
          <w:tcPr>
            <w:tcW w:w="170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w:t>
            </w:r>
          </w:p>
        </w:tc>
        <w:tc>
          <w:tcPr>
            <w:tcW w:w="798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p>
        </w:tc>
      </w:tr>
      <w:tr>
        <w:tblPrEx>
          <w:tblLayout w:type="fixed"/>
          <w:tblCellMar>
            <w:top w:w="0" w:type="dxa"/>
            <w:left w:w="0" w:type="dxa"/>
            <w:bottom w:w="0" w:type="dxa"/>
            <w:right w:w="0" w:type="dxa"/>
          </w:tblCellMar>
        </w:tblPrEx>
        <w:trPr>
          <w:cantSplit/>
          <w:trHeight w:val="1093" w:hRule="atLeast"/>
        </w:trPr>
        <w:tc>
          <w:tcPr>
            <w:tcW w:w="1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期限</w:t>
            </w:r>
          </w:p>
        </w:tc>
        <w:tc>
          <w:tcPr>
            <w:tcW w:w="798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p>
        </w:tc>
      </w:tr>
      <w:tr>
        <w:tblPrEx>
          <w:tblLayout w:type="fixed"/>
          <w:tblCellMar>
            <w:top w:w="0" w:type="dxa"/>
            <w:left w:w="0" w:type="dxa"/>
            <w:bottom w:w="0" w:type="dxa"/>
            <w:right w:w="0" w:type="dxa"/>
          </w:tblCellMar>
        </w:tblPrEx>
        <w:trPr>
          <w:cantSplit/>
          <w:trHeight w:val="1059" w:hRule="atLeast"/>
        </w:trPr>
        <w:tc>
          <w:tcPr>
            <w:tcW w:w="1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w:t>
            </w:r>
          </w:p>
        </w:tc>
        <w:tc>
          <w:tcPr>
            <w:tcW w:w="798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Theme="minorEastAsia" w:hAnsiTheme="minorEastAsia" w:eastAsiaTheme="minorEastAsia" w:cstheme="minorEastAsia"/>
                <w:szCs w:val="21"/>
              </w:rPr>
            </w:pPr>
          </w:p>
        </w:tc>
      </w:tr>
      <w:tr>
        <w:tblPrEx>
          <w:tblLayout w:type="fixed"/>
          <w:tblCellMar>
            <w:top w:w="0" w:type="dxa"/>
            <w:left w:w="0" w:type="dxa"/>
            <w:bottom w:w="0" w:type="dxa"/>
            <w:right w:w="0" w:type="dxa"/>
          </w:tblCellMar>
        </w:tblPrEx>
        <w:trPr>
          <w:cantSplit/>
          <w:trHeight w:val="1059" w:hRule="atLeast"/>
        </w:trPr>
        <w:tc>
          <w:tcPr>
            <w:tcW w:w="1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优惠条件</w:t>
            </w:r>
          </w:p>
        </w:tc>
        <w:tc>
          <w:tcPr>
            <w:tcW w:w="798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Theme="minorEastAsia" w:hAnsiTheme="minorEastAsia" w:eastAsiaTheme="minorEastAsia" w:cstheme="minorEastAsia"/>
                <w:szCs w:val="21"/>
              </w:rPr>
            </w:pPr>
          </w:p>
        </w:tc>
      </w:tr>
      <w:tr>
        <w:tblPrEx>
          <w:tblLayout w:type="fixed"/>
          <w:tblCellMar>
            <w:top w:w="0" w:type="dxa"/>
            <w:left w:w="0" w:type="dxa"/>
            <w:bottom w:w="0" w:type="dxa"/>
            <w:right w:w="0" w:type="dxa"/>
          </w:tblCellMar>
        </w:tblPrEx>
        <w:trPr>
          <w:cantSplit/>
          <w:trHeight w:val="2730" w:hRule="atLeast"/>
        </w:trPr>
        <w:tc>
          <w:tcPr>
            <w:tcW w:w="968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20" w:lineRule="exact"/>
              <w:rPr>
                <w:rFonts w:ascii="宋体" w:hAnsi="宋体" w:cs="宋体"/>
                <w:b/>
                <w:color w:val="auto"/>
                <w:szCs w:val="21"/>
              </w:rPr>
            </w:pPr>
            <w:r>
              <w:rPr>
                <w:rFonts w:hint="eastAsia" w:ascii="宋体" w:hAnsi="宋体" w:cs="宋体"/>
                <w:b/>
                <w:color w:val="auto"/>
                <w:szCs w:val="21"/>
              </w:rPr>
              <w:t>说明：</w:t>
            </w:r>
          </w:p>
          <w:p>
            <w:pPr>
              <w:spacing w:line="420" w:lineRule="exact"/>
              <w:rPr>
                <w:rFonts w:ascii="宋体" w:hAnsi="宋体" w:cs="宋体"/>
                <w:color w:val="auto"/>
                <w:szCs w:val="21"/>
              </w:rPr>
            </w:pPr>
            <w:r>
              <w:rPr>
                <w:rFonts w:hint="eastAsia" w:ascii="宋体" w:hAnsi="宋体" w:cs="宋体"/>
                <w:color w:val="auto"/>
                <w:szCs w:val="21"/>
              </w:rPr>
              <w:t>1、本表投标总价应与</w:t>
            </w:r>
            <w:r>
              <w:rPr>
                <w:rFonts w:hint="eastAsia" w:ascii="宋体" w:hAnsi="宋体" w:cs="宋体"/>
                <w:color w:val="auto"/>
                <w:szCs w:val="21"/>
                <w:u w:val="single"/>
              </w:rPr>
              <w:t>投标文件中报价表、投标函的总报价一致</w:t>
            </w:r>
            <w:r>
              <w:rPr>
                <w:rFonts w:hint="eastAsia" w:ascii="宋体" w:hAnsi="宋体" w:cs="宋体"/>
                <w:color w:val="auto"/>
                <w:szCs w:val="21"/>
              </w:rPr>
              <w:t>，不一致者以《投标函》中总报价为准（大小写不一致以大写金额为准），投标人将承担由此造成的一切后果。</w:t>
            </w:r>
          </w:p>
          <w:p>
            <w:pPr>
              <w:spacing w:line="420" w:lineRule="exact"/>
              <w:rPr>
                <w:rFonts w:ascii="宋体" w:hAnsi="宋体" w:cs="宋体"/>
                <w:color w:val="auto"/>
                <w:szCs w:val="21"/>
              </w:rPr>
            </w:pPr>
            <w:r>
              <w:rPr>
                <w:rFonts w:hint="eastAsia" w:ascii="宋体" w:hAnsi="宋体" w:cs="宋体"/>
                <w:color w:val="auto"/>
                <w:szCs w:val="21"/>
              </w:rPr>
              <w:t>2、与本表同时公开唱标的内容包括对其投标文件的修改或撤回通知、投标价折扣声明、其他采购人认为应该宣读的内容等。</w:t>
            </w:r>
          </w:p>
          <w:p>
            <w:pPr>
              <w:spacing w:line="360" w:lineRule="exact"/>
              <w:jc w:val="left"/>
              <w:rPr>
                <w:rFonts w:hint="eastAsia" w:asciiTheme="minorEastAsia" w:hAnsiTheme="minorEastAsia" w:eastAsiaTheme="minorEastAsia" w:cstheme="minorEastAsia"/>
                <w:szCs w:val="21"/>
              </w:rPr>
            </w:pPr>
            <w:r>
              <w:rPr>
                <w:rFonts w:hint="eastAsia" w:ascii="宋体" w:hAnsi="宋体" w:cs="宋体"/>
                <w:color w:val="auto"/>
                <w:szCs w:val="21"/>
              </w:rPr>
              <w:t>3、投标总报价应包含成本、运输、税金、培训等一切与之相关费用</w:t>
            </w:r>
            <w:r>
              <w:rPr>
                <w:rFonts w:hint="eastAsia" w:ascii="宋体" w:hAnsi="宋体" w:cs="宋体"/>
                <w:b/>
                <w:color w:val="auto"/>
                <w:szCs w:val="21"/>
              </w:rPr>
              <w:t>。</w:t>
            </w:r>
          </w:p>
        </w:tc>
      </w:tr>
    </w:tbl>
    <w:p>
      <w:pPr>
        <w:pStyle w:val="14"/>
        <w:spacing w:line="520" w:lineRule="exact"/>
        <w:ind w:left="0" w:leftChars="0" w:firstLine="300"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供应商名称（公章）：</w:t>
      </w:r>
    </w:p>
    <w:p>
      <w:pPr>
        <w:pStyle w:val="14"/>
        <w:spacing w:line="520" w:lineRule="exact"/>
        <w:ind w:left="0" w:leftChars="0" w:firstLine="20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法定代表人或授权委托人签字:</w:t>
      </w:r>
    </w:p>
    <w:p>
      <w:pPr>
        <w:spacing w:line="360" w:lineRule="exact"/>
        <w:ind w:firstLine="315" w:firstLineChars="15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日</w:t>
      </w:r>
      <w:bookmarkStart w:id="258" w:name="_Toc2504"/>
    </w:p>
    <w:p>
      <w:pPr>
        <w:rPr>
          <w:rFonts w:hint="eastAsia" w:asciiTheme="minorEastAsia" w:hAnsiTheme="minorEastAsia" w:eastAsiaTheme="minorEastAsia" w:cstheme="minorEastAsia"/>
        </w:rPr>
      </w:pPr>
      <w:bookmarkStart w:id="259" w:name="_Toc1164"/>
    </w:p>
    <w:p>
      <w:pPr>
        <w:bidi w:val="0"/>
        <w:rPr>
          <w:rFonts w:hint="eastAsia" w:asciiTheme="minorEastAsia" w:hAnsiTheme="minorEastAsia" w:eastAsiaTheme="minorEastAsia" w:cstheme="minorEastAsia"/>
        </w:rPr>
      </w:pPr>
      <w:bookmarkStart w:id="260" w:name="_Toc14358"/>
      <w:bookmarkStart w:id="261" w:name="_Toc27148146"/>
      <w:bookmarkStart w:id="262" w:name="_Toc31604"/>
    </w:p>
    <w:p>
      <w:pPr>
        <w:pStyle w:val="24"/>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三、</w:t>
      </w:r>
      <w:bookmarkEnd w:id="258"/>
      <w:bookmarkEnd w:id="259"/>
      <w:bookmarkEnd w:id="260"/>
      <w:r>
        <w:rPr>
          <w:rFonts w:hint="eastAsia" w:asciiTheme="minorEastAsia" w:hAnsiTheme="minorEastAsia" w:eastAsiaTheme="minorEastAsia" w:cstheme="minorEastAsia"/>
        </w:rPr>
        <w:t>货物清单及报价明细表</w:t>
      </w:r>
      <w:bookmarkEnd w:id="261"/>
      <w:bookmarkEnd w:id="262"/>
    </w:p>
    <w:p>
      <w:pPr>
        <w:rPr>
          <w:rFonts w:hint="eastAsia" w:asciiTheme="minorEastAsia" w:hAnsiTheme="minorEastAsia" w:eastAsiaTheme="minorEastAsia" w:cstheme="minorEastAsia"/>
        </w:rPr>
      </w:pPr>
    </w:p>
    <w:tbl>
      <w:tblPr>
        <w:tblStyle w:val="40"/>
        <w:tblW w:w="9700" w:type="dxa"/>
        <w:jc w:val="center"/>
        <w:tblInd w:w="0" w:type="dxa"/>
        <w:tblLayout w:type="fixed"/>
        <w:tblCellMar>
          <w:top w:w="0" w:type="dxa"/>
          <w:left w:w="0" w:type="dxa"/>
          <w:bottom w:w="0" w:type="dxa"/>
          <w:right w:w="0" w:type="dxa"/>
        </w:tblCellMar>
      </w:tblPr>
      <w:tblGrid>
        <w:gridCol w:w="559"/>
        <w:gridCol w:w="1555"/>
        <w:gridCol w:w="2289"/>
        <w:gridCol w:w="833"/>
        <w:gridCol w:w="905"/>
        <w:gridCol w:w="1204"/>
        <w:gridCol w:w="1134"/>
        <w:gridCol w:w="1221"/>
      </w:tblGrid>
      <w:tr>
        <w:tblPrEx>
          <w:tblLayout w:type="fixed"/>
          <w:tblCellMar>
            <w:top w:w="0" w:type="dxa"/>
            <w:left w:w="0" w:type="dxa"/>
            <w:bottom w:w="0" w:type="dxa"/>
            <w:right w:w="0" w:type="dxa"/>
          </w:tblCellMar>
        </w:tblPrEx>
        <w:trPr>
          <w:cantSplit/>
          <w:trHeight w:val="694" w:hRule="atLeast"/>
          <w:jc w:val="center"/>
        </w:trPr>
        <w:tc>
          <w:tcPr>
            <w:tcW w:w="9700" w:type="dxa"/>
            <w:gridSpan w:val="8"/>
            <w:tcBorders>
              <w:top w:val="single" w:color="auto" w:sz="4" w:space="0"/>
              <w:left w:val="single" w:color="auto" w:sz="4" w:space="0"/>
              <w:right w:val="single" w:color="auto" w:sz="4" w:space="0"/>
            </w:tcBorders>
            <w:tcMar>
              <w:top w:w="20" w:type="dxa"/>
              <w:left w:w="20" w:type="dxa"/>
              <w:bottom w:w="0" w:type="dxa"/>
              <w:right w:w="20" w:type="dxa"/>
            </w:tcMar>
            <w:vAlign w:val="center"/>
          </w:tcPr>
          <w:p>
            <w:pPr>
              <w:rPr>
                <w:rFonts w:hint="eastAsia" w:asciiTheme="minorEastAsia" w:hAnsiTheme="minorEastAsia" w:eastAsiaTheme="minorEastAsia" w:cstheme="minorEastAsia"/>
              </w:rPr>
            </w:pPr>
            <w:bookmarkStart w:id="263" w:name="_Toc388091825"/>
            <w:r>
              <w:rPr>
                <w:rFonts w:hint="eastAsia" w:asciiTheme="minorEastAsia" w:hAnsiTheme="minorEastAsia" w:eastAsiaTheme="minorEastAsia" w:cstheme="minorEastAsia"/>
              </w:rPr>
              <w:t>供应商：（此处填名称并盖章）</w:t>
            </w:r>
            <w:bookmarkEnd w:id="263"/>
          </w:p>
        </w:tc>
      </w:tr>
      <w:tr>
        <w:tblPrEx>
          <w:tblLayout w:type="fixed"/>
          <w:tblCellMar>
            <w:top w:w="0" w:type="dxa"/>
            <w:left w:w="0" w:type="dxa"/>
            <w:bottom w:w="0" w:type="dxa"/>
            <w:right w:w="0" w:type="dxa"/>
          </w:tblCellMar>
        </w:tblPrEx>
        <w:trPr>
          <w:cantSplit/>
          <w:trHeight w:val="731" w:hRule="atLeast"/>
          <w:jc w:val="center"/>
        </w:trPr>
        <w:tc>
          <w:tcPr>
            <w:tcW w:w="9700" w:type="dxa"/>
            <w:gridSpan w:val="8"/>
            <w:tcBorders>
              <w:left w:val="single" w:color="auto" w:sz="4" w:space="0"/>
              <w:right w:val="single" w:color="auto" w:sz="4" w:space="0"/>
            </w:tcBorders>
            <w:tcMar>
              <w:top w:w="20" w:type="dxa"/>
              <w:left w:w="20" w:type="dxa"/>
              <w:bottom w:w="0" w:type="dxa"/>
              <w:right w:w="20" w:type="dxa"/>
            </w:tcMar>
            <w:vAlign w:val="center"/>
          </w:tcPr>
          <w:p>
            <w:pPr>
              <w:rPr>
                <w:rFonts w:hint="eastAsia" w:asciiTheme="minorEastAsia" w:hAnsiTheme="minorEastAsia" w:eastAsiaTheme="minorEastAsia" w:cstheme="minorEastAsia"/>
              </w:rPr>
            </w:pPr>
            <w:bookmarkStart w:id="264" w:name="_Toc388091826"/>
            <w:r>
              <w:rPr>
                <w:rFonts w:hint="eastAsia" w:asciiTheme="minorEastAsia" w:hAnsiTheme="minorEastAsia" w:eastAsiaTheme="minorEastAsia" w:cstheme="minorEastAsia"/>
              </w:rPr>
              <w:t>项目：（此处填项目名称）</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金额单位：元</w:t>
            </w:r>
            <w:bookmarkEnd w:id="264"/>
          </w:p>
        </w:tc>
      </w:tr>
      <w:tr>
        <w:tblPrEx>
          <w:tblLayout w:type="fixed"/>
          <w:tblCellMar>
            <w:top w:w="0" w:type="dxa"/>
            <w:left w:w="0" w:type="dxa"/>
            <w:bottom w:w="0" w:type="dxa"/>
            <w:right w:w="0" w:type="dxa"/>
          </w:tblCellMar>
        </w:tblPrEx>
        <w:trPr>
          <w:trHeight w:val="70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65" w:name="_Toc388091827"/>
            <w:r>
              <w:rPr>
                <w:rFonts w:hint="eastAsia" w:asciiTheme="minorEastAsia" w:hAnsiTheme="minorEastAsia" w:eastAsiaTheme="minorEastAsia" w:cstheme="minorEastAsia"/>
              </w:rPr>
              <w:t>序号</w:t>
            </w:r>
            <w:bookmarkEnd w:id="265"/>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66" w:name="_Toc388091828"/>
            <w:r>
              <w:rPr>
                <w:rFonts w:hint="eastAsia" w:asciiTheme="minorEastAsia" w:hAnsiTheme="minorEastAsia" w:eastAsiaTheme="minorEastAsia" w:cstheme="minorEastAsia"/>
              </w:rPr>
              <w:t>设备（项目）</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名称</w:t>
            </w:r>
            <w:bookmarkEnd w:id="266"/>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67" w:name="_Toc388091829"/>
            <w:r>
              <w:rPr>
                <w:rFonts w:hint="eastAsia" w:asciiTheme="minorEastAsia" w:hAnsiTheme="minorEastAsia" w:eastAsiaTheme="minorEastAsia" w:cstheme="minorEastAsia"/>
              </w:rPr>
              <w:t>品牌及规格型号参数</w:t>
            </w:r>
            <w:bookmarkEnd w:id="267"/>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68" w:name="_Toc388091830"/>
            <w:r>
              <w:rPr>
                <w:rFonts w:hint="eastAsia" w:asciiTheme="minorEastAsia" w:hAnsiTheme="minorEastAsia" w:eastAsiaTheme="minorEastAsia" w:cstheme="minorEastAsia"/>
              </w:rPr>
              <w:t>单位</w:t>
            </w:r>
            <w:bookmarkEnd w:id="268"/>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69" w:name="_Toc388091831"/>
            <w:r>
              <w:rPr>
                <w:rFonts w:hint="eastAsia" w:asciiTheme="minorEastAsia" w:hAnsiTheme="minorEastAsia" w:eastAsiaTheme="minorEastAsia" w:cstheme="minorEastAsia"/>
              </w:rPr>
              <w:t>数量</w:t>
            </w:r>
            <w:bookmarkEnd w:id="269"/>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70" w:name="_Toc388091832"/>
            <w:r>
              <w:rPr>
                <w:rFonts w:hint="eastAsia" w:asciiTheme="minorEastAsia" w:hAnsiTheme="minorEastAsia" w:eastAsiaTheme="minorEastAsia" w:cstheme="minorEastAsia"/>
              </w:rPr>
              <w:t>单价</w:t>
            </w:r>
            <w:bookmarkEnd w:id="270"/>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71" w:name="_Toc388091833"/>
            <w:r>
              <w:rPr>
                <w:rFonts w:hint="eastAsia" w:asciiTheme="minorEastAsia" w:hAnsiTheme="minorEastAsia" w:eastAsiaTheme="minorEastAsia" w:cstheme="minorEastAsia"/>
              </w:rPr>
              <w:t>合计</w:t>
            </w:r>
            <w:bookmarkEnd w:id="271"/>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bookmarkStart w:id="272" w:name="_Toc388091834"/>
            <w:r>
              <w:rPr>
                <w:rFonts w:hint="eastAsia" w:asciiTheme="minorEastAsia" w:hAnsiTheme="minorEastAsia" w:eastAsiaTheme="minorEastAsia" w:cstheme="minorEastAsia"/>
              </w:rPr>
              <w:t>备注</w:t>
            </w:r>
            <w:bookmarkEnd w:id="272"/>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eastAsia" w:asciiTheme="minorEastAsia" w:hAnsiTheme="minorEastAsia" w:eastAsiaTheme="minorEastAsia" w:cstheme="minorEastAsia"/>
              </w:rPr>
            </w:pPr>
          </w:p>
        </w:tc>
      </w:tr>
      <w:tr>
        <w:tblPrEx>
          <w:tblLayout w:type="fixed"/>
          <w:tblCellMar>
            <w:top w:w="0" w:type="dxa"/>
            <w:left w:w="0" w:type="dxa"/>
            <w:bottom w:w="0" w:type="dxa"/>
            <w:right w:w="0" w:type="dxa"/>
          </w:tblCellMar>
        </w:tblPrEx>
        <w:trPr>
          <w:trHeight w:val="765" w:hRule="atLeast"/>
          <w:jc w:val="center"/>
        </w:trPr>
        <w:tc>
          <w:tcPr>
            <w:tcW w:w="9700" w:type="dxa"/>
            <w:gridSpan w:val="8"/>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ind w:firstLine="1050" w:firstLineChars="500"/>
              <w:jc w:val="left"/>
              <w:rPr>
                <w:rFonts w:hint="eastAsia" w:asciiTheme="minorEastAsia" w:hAnsiTheme="minorEastAsia" w:eastAsiaTheme="minorEastAsia" w:cstheme="minorEastAsia"/>
              </w:rPr>
            </w:pPr>
            <w:bookmarkStart w:id="273" w:name="_Toc388091835"/>
            <w:r>
              <w:rPr>
                <w:rFonts w:hint="eastAsia" w:asciiTheme="minorEastAsia" w:hAnsiTheme="minorEastAsia" w:eastAsiaTheme="minorEastAsia" w:cstheme="minorEastAsia"/>
              </w:rPr>
              <w:t>优惠条件：</w:t>
            </w:r>
            <w:bookmarkEnd w:id="273"/>
          </w:p>
        </w:tc>
      </w:tr>
    </w:tbl>
    <w:p>
      <w:pPr>
        <w:rPr>
          <w:rFonts w:hint="eastAsia" w:asciiTheme="minorEastAsia" w:hAnsiTheme="minorEastAsia" w:eastAsiaTheme="minorEastAsia" w:cstheme="minorEastAsia"/>
          <w:lang w:eastAsia="zh-CN"/>
        </w:rPr>
      </w:pPr>
      <w:bookmarkStart w:id="274" w:name="_Toc388091838"/>
      <w:r>
        <w:rPr>
          <w:rFonts w:hint="eastAsia" w:asciiTheme="minorEastAsia" w:hAnsiTheme="minorEastAsia" w:eastAsiaTheme="minorEastAsia" w:cstheme="minorEastAsia"/>
          <w:lang w:eastAsia="zh-CN"/>
        </w:rPr>
        <w:t>（表格格式仅供参考）</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供应商名称：__________________ （公章）</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法定代表人或授权委托人签字并盖章：</w:t>
      </w:r>
      <w:bookmarkEnd w:id="274"/>
    </w:p>
    <w:p>
      <w:pPr>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bookmarkStart w:id="275" w:name="_Toc27148147"/>
      <w:bookmarkStart w:id="276" w:name="_Toc388091839"/>
      <w:bookmarkStart w:id="277" w:name="_Toc1441"/>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日</w:t>
      </w:r>
      <w:bookmarkEnd w:id="275"/>
      <w:bookmarkEnd w:id="276"/>
      <w:bookmarkEnd w:id="277"/>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color w:val="auto"/>
          <w:lang w:eastAsia="zh-CN"/>
        </w:rPr>
      </w:pPr>
      <w:bookmarkStart w:id="278" w:name="_Toc29244"/>
      <w:bookmarkStart w:id="279" w:name="_Toc388091840"/>
      <w:bookmarkStart w:id="280" w:name="_Toc15920"/>
      <w:bookmarkStart w:id="281" w:name="_Toc9887"/>
      <w:bookmarkStart w:id="282" w:name="_Toc18276"/>
      <w:bookmarkStart w:id="283" w:name="_Toc27148148"/>
      <w:r>
        <w:rPr>
          <w:rFonts w:hint="eastAsia" w:asciiTheme="minorEastAsia" w:hAnsiTheme="minorEastAsia" w:eastAsiaTheme="minorEastAsia" w:cstheme="minorEastAsia"/>
          <w:color w:val="auto"/>
        </w:rPr>
        <w:t>四、</w:t>
      </w:r>
      <w:bookmarkEnd w:id="278"/>
      <w:bookmarkEnd w:id="279"/>
      <w:bookmarkEnd w:id="280"/>
      <w:bookmarkEnd w:id="281"/>
      <w:r>
        <w:rPr>
          <w:rFonts w:hint="eastAsia" w:asciiTheme="minorEastAsia" w:hAnsiTheme="minorEastAsia" w:eastAsiaTheme="minorEastAsia" w:cstheme="minorEastAsia"/>
          <w:color w:val="auto"/>
        </w:rPr>
        <w:t>技术</w:t>
      </w:r>
      <w:bookmarkEnd w:id="282"/>
      <w:bookmarkEnd w:id="283"/>
      <w:r>
        <w:rPr>
          <w:rFonts w:hint="eastAsia" w:asciiTheme="minorEastAsia" w:hAnsiTheme="minorEastAsia" w:eastAsiaTheme="minorEastAsia" w:cstheme="minorEastAsia"/>
          <w:color w:val="auto"/>
          <w:lang w:eastAsia="zh-CN"/>
        </w:rPr>
        <w:t>方案</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widowControl/>
        <w:spacing w:line="360" w:lineRule="exact"/>
        <w:rPr>
          <w:rFonts w:hint="eastAsia" w:asciiTheme="minorEastAsia" w:hAnsiTheme="minorEastAsia" w:eastAsiaTheme="minorEastAsia" w:cstheme="minorEastAsia"/>
          <w:szCs w:val="21"/>
        </w:rPr>
        <w:sectPr>
          <w:footerReference r:id="rId4" w:type="first"/>
          <w:footerReference r:id="rId3" w:type="default"/>
          <w:pgSz w:w="11906" w:h="16838"/>
          <w:pgMar w:top="1083" w:right="1083" w:bottom="1083" w:left="1083" w:header="851" w:footer="992" w:gutter="0"/>
          <w:pgNumType w:start="1"/>
          <w:cols w:space="720" w:num="1"/>
          <w:docGrid w:type="linesAndChars" w:linePitch="312" w:charSpace="0"/>
        </w:sectPr>
      </w:pPr>
    </w:p>
    <w:p>
      <w:pPr>
        <w:pStyle w:val="24"/>
        <w:rPr>
          <w:rFonts w:hint="eastAsia" w:asciiTheme="minorEastAsia" w:hAnsiTheme="minorEastAsia" w:eastAsiaTheme="minorEastAsia" w:cstheme="minorEastAsia"/>
        </w:rPr>
      </w:pPr>
      <w:bookmarkStart w:id="284" w:name="_Toc25303"/>
      <w:bookmarkStart w:id="285" w:name="_Toc27148149"/>
      <w:bookmarkStart w:id="286" w:name="_Toc1705"/>
      <w:bookmarkStart w:id="287" w:name="_Toc11274"/>
      <w:bookmarkStart w:id="288" w:name="_Toc18905"/>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rPr>
        <w:t>法定代表人（负责人）身份证明</w:t>
      </w:r>
      <w:bookmarkEnd w:id="284"/>
      <w:bookmarkEnd w:id="285"/>
      <w:bookmarkEnd w:id="286"/>
      <w:bookmarkEnd w:id="287"/>
      <w:bookmarkEnd w:id="288"/>
    </w:p>
    <w:p>
      <w:pPr>
        <w:spacing w:line="440" w:lineRule="exact"/>
        <w:rPr>
          <w:rFonts w:hint="eastAsia" w:asciiTheme="minorEastAsia" w:hAnsiTheme="minorEastAsia" w:eastAsiaTheme="minorEastAsia" w:cstheme="minorEastAsia"/>
          <w:sz w:val="20"/>
        </w:rPr>
      </w:pPr>
    </w:p>
    <w:p>
      <w:pPr>
        <w:spacing w:line="44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供应商名称：_________________________________</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单位性质：__________________________________</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地址：______________________________________</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成立时间：____年_____月_______日</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经营期限：______________________</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姓名：_____ 性别：________年龄：_________职务：_________</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系_______________ （供应商名称）的法定代表人。</w:t>
      </w:r>
    </w:p>
    <w:p>
      <w:pPr>
        <w:spacing w:line="56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特此证明。</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附:法定代表人身份证复印件加盖公章</w:t>
      </w:r>
    </w:p>
    <w:p>
      <w:pPr>
        <w:spacing w:line="560" w:lineRule="exact"/>
        <w:rPr>
          <w:rFonts w:hint="eastAsia" w:asciiTheme="minorEastAsia" w:hAnsiTheme="minorEastAsia" w:eastAsiaTheme="minorEastAsia" w:cstheme="minorEastAsia"/>
          <w:szCs w:val="21"/>
        </w:rPr>
      </w:pPr>
    </w:p>
    <w:p>
      <w:pPr>
        <w:spacing w:line="560" w:lineRule="exact"/>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供应商：______________（盖单位章）</w:t>
      </w:r>
    </w:p>
    <w:p>
      <w:pPr>
        <w:spacing w:line="560" w:lineRule="exact"/>
        <w:ind w:firstLine="2730" w:firstLineChars="130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年月日</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289" w:name="_Toc12202"/>
      <w:bookmarkStart w:id="290" w:name="_Toc27148150"/>
      <w:bookmarkStart w:id="291" w:name="_Toc2777"/>
      <w:bookmarkStart w:id="292" w:name="_Toc4119"/>
      <w:bookmarkStart w:id="293" w:name="_Toc14665"/>
      <w:r>
        <w:rPr>
          <w:rFonts w:hint="eastAsia" w:asciiTheme="minorEastAsia" w:hAnsiTheme="minorEastAsia" w:eastAsiaTheme="minorEastAsia" w:cstheme="minorEastAsia"/>
        </w:rPr>
        <w:t>六、授权委托书</w:t>
      </w:r>
      <w:bookmarkEnd w:id="289"/>
      <w:bookmarkEnd w:id="290"/>
      <w:bookmarkEnd w:id="291"/>
      <w:bookmarkEnd w:id="292"/>
      <w:bookmarkEnd w:id="293"/>
    </w:p>
    <w:p>
      <w:pPr>
        <w:spacing w:line="440" w:lineRule="exact"/>
        <w:rPr>
          <w:rFonts w:hint="eastAsia" w:asciiTheme="minorEastAsia" w:hAnsiTheme="minorEastAsia" w:eastAsiaTheme="minorEastAsia" w:cstheme="minorEastAsia"/>
          <w:szCs w:val="21"/>
        </w:rPr>
      </w:pPr>
    </w:p>
    <w:p>
      <w:pPr>
        <w:topLinePunct/>
        <w:spacing w:line="560" w:lineRule="exact"/>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_________（姓名）系____________（供应商名称）的法定代表人（负责人），现委托__________（姓名）为我方代理人。代理人根据授权，以我方名义签署、澄清、说明、补正、递交、撤回、修改____________（项目名称）投标文件、签订合同和处理有关事宜，其法律后果由我方承担。</w:t>
      </w: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委托期限：__________________________。</w:t>
      </w:r>
    </w:p>
    <w:p>
      <w:pPr>
        <w:spacing w:line="56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代理人无转委托权。</w:t>
      </w:r>
    </w:p>
    <w:p>
      <w:pPr>
        <w:spacing w:line="56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附：委托代理人身份证复印件加盖公章</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供应商：_______________（盖单位章）</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法定代表人：________________（签字或盖章）</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身份证号码：_____________________________</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委托代理人：___________________________（签字）</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身份证号码：________________________</w:t>
      </w:r>
    </w:p>
    <w:p>
      <w:pPr>
        <w:spacing w:line="560" w:lineRule="exact"/>
        <w:rPr>
          <w:rFonts w:hint="eastAsia" w:asciiTheme="minorEastAsia" w:hAnsiTheme="minorEastAsia" w:eastAsiaTheme="minorEastAsia" w:cstheme="minorEastAsia"/>
          <w:szCs w:val="21"/>
        </w:rPr>
      </w:pPr>
    </w:p>
    <w:p>
      <w:pPr>
        <w:spacing w:line="560" w:lineRule="exact"/>
        <w:rPr>
          <w:rFonts w:hint="eastAsia" w:asciiTheme="minorEastAsia" w:hAnsiTheme="minorEastAsia" w:eastAsiaTheme="minorEastAsia" w:cstheme="minorEastAsia"/>
          <w:szCs w:val="21"/>
        </w:rPr>
      </w:pPr>
    </w:p>
    <w:p>
      <w:pPr>
        <w:wordWrap w:val="0"/>
        <w:spacing w:line="560" w:lineRule="exact"/>
        <w:ind w:firstLine="525" w:firstLineChars="25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年月日</w:t>
      </w:r>
    </w:p>
    <w:p>
      <w:pPr>
        <w:pStyle w:val="24"/>
        <w:rPr>
          <w:rFonts w:hint="eastAsia" w:asciiTheme="minorEastAsia" w:hAnsiTheme="minorEastAsia" w:eastAsiaTheme="minorEastAsia" w:cstheme="minorEastAsia"/>
        </w:rPr>
      </w:pPr>
      <w:bookmarkStart w:id="294" w:name="_Toc31274"/>
      <w:bookmarkStart w:id="295" w:name="_Toc27148153"/>
      <w:bookmarkStart w:id="296" w:name="_Toc10585"/>
      <w:r>
        <w:rPr>
          <w:rFonts w:hint="eastAsia" w:asciiTheme="minorEastAsia" w:hAnsiTheme="minorEastAsia" w:eastAsiaTheme="minorEastAsia" w:cstheme="minorEastAsia"/>
          <w:sz w:val="21"/>
          <w:szCs w:val="21"/>
        </w:rPr>
        <w:br w:type="page"/>
      </w:r>
      <w:bookmarkStart w:id="297" w:name="_Toc14830"/>
      <w:bookmarkStart w:id="298" w:name="_Toc19605"/>
      <w:bookmarkStart w:id="299" w:name="_Toc2363"/>
      <w:bookmarkStart w:id="300" w:name="_Toc8525"/>
      <w:bookmarkStart w:id="301" w:name="_Toc27148151"/>
      <w:r>
        <w:rPr>
          <w:rFonts w:hint="eastAsia" w:asciiTheme="minorEastAsia" w:hAnsiTheme="minorEastAsia" w:eastAsiaTheme="minorEastAsia" w:cstheme="minorEastAsia"/>
        </w:rPr>
        <w:t>七、供应商基本情况表</w:t>
      </w:r>
      <w:bookmarkEnd w:id="297"/>
      <w:bookmarkEnd w:id="298"/>
      <w:bookmarkEnd w:id="299"/>
      <w:bookmarkEnd w:id="300"/>
      <w:bookmarkEnd w:id="301"/>
    </w:p>
    <w:p>
      <w:pPr>
        <w:spacing w:line="360" w:lineRule="exact"/>
        <w:rPr>
          <w:rFonts w:hint="eastAsia" w:asciiTheme="minorEastAsia" w:hAnsiTheme="minorEastAsia" w:eastAsiaTheme="minorEastAsia" w:cstheme="minorEastAsia"/>
          <w:szCs w:val="21"/>
        </w:rPr>
      </w:pPr>
    </w:p>
    <w:tbl>
      <w:tblPr>
        <w:tblStyle w:val="40"/>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086"/>
        <w:gridCol w:w="1306"/>
        <w:gridCol w:w="1306"/>
        <w:gridCol w:w="1085"/>
        <w:gridCol w:w="221"/>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供应商名称</w:t>
            </w:r>
          </w:p>
        </w:tc>
        <w:tc>
          <w:tcPr>
            <w:tcW w:w="7618" w:type="dxa"/>
            <w:gridSpan w:val="7"/>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注册地址</w:t>
            </w:r>
          </w:p>
        </w:tc>
        <w:tc>
          <w:tcPr>
            <w:tcW w:w="3698" w:type="dxa"/>
            <w:gridSpan w:val="3"/>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p>
        </w:tc>
        <w:tc>
          <w:tcPr>
            <w:tcW w:w="2614"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Merge w:val="restart"/>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联系方式</w:t>
            </w:r>
          </w:p>
        </w:tc>
        <w:tc>
          <w:tcPr>
            <w:tcW w:w="108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w:t>
            </w:r>
          </w:p>
        </w:tc>
        <w:tc>
          <w:tcPr>
            <w:tcW w:w="2612"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tc>
        <w:tc>
          <w:tcPr>
            <w:tcW w:w="2614"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523" w:type="dxa"/>
            <w:vMerge w:val="continue"/>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08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传真</w:t>
            </w:r>
          </w:p>
        </w:tc>
        <w:tc>
          <w:tcPr>
            <w:tcW w:w="2612"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网址</w:t>
            </w:r>
          </w:p>
        </w:tc>
        <w:tc>
          <w:tcPr>
            <w:tcW w:w="2614"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组织结构</w:t>
            </w:r>
          </w:p>
        </w:tc>
        <w:tc>
          <w:tcPr>
            <w:tcW w:w="7618" w:type="dxa"/>
            <w:gridSpan w:val="7"/>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p>
        </w:tc>
        <w:tc>
          <w:tcPr>
            <w:tcW w:w="108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姓名</w:t>
            </w: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技术职称</w:t>
            </w:r>
          </w:p>
        </w:tc>
        <w:tc>
          <w:tcPr>
            <w:tcW w:w="1306"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技术负责人</w:t>
            </w:r>
          </w:p>
        </w:tc>
        <w:tc>
          <w:tcPr>
            <w:tcW w:w="108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姓名</w:t>
            </w: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技术职称</w:t>
            </w:r>
          </w:p>
        </w:tc>
        <w:tc>
          <w:tcPr>
            <w:tcW w:w="1306"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成立时间</w:t>
            </w:r>
          </w:p>
        </w:tc>
        <w:tc>
          <w:tcPr>
            <w:tcW w:w="3698" w:type="dxa"/>
            <w:gridSpan w:val="3"/>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3920" w:type="dxa"/>
            <w:gridSpan w:val="4"/>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企业资质等级</w:t>
            </w:r>
          </w:p>
        </w:tc>
        <w:tc>
          <w:tcPr>
            <w:tcW w:w="3698" w:type="dxa"/>
            <w:gridSpan w:val="3"/>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085" w:type="dxa"/>
            <w:vMerge w:val="restart"/>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其中</w:t>
            </w:r>
          </w:p>
        </w:tc>
        <w:tc>
          <w:tcPr>
            <w:tcW w:w="1528"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高级职称人员</w:t>
            </w: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营业执照号</w:t>
            </w:r>
          </w:p>
        </w:tc>
        <w:tc>
          <w:tcPr>
            <w:tcW w:w="3698" w:type="dxa"/>
            <w:gridSpan w:val="3"/>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085" w:type="dxa"/>
            <w:vMerge w:val="continue"/>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528"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中级职称人员</w:t>
            </w: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注册资金</w:t>
            </w:r>
          </w:p>
        </w:tc>
        <w:tc>
          <w:tcPr>
            <w:tcW w:w="108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306"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085" w:type="dxa"/>
            <w:vMerge w:val="continue"/>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c>
          <w:tcPr>
            <w:tcW w:w="1528" w:type="dxa"/>
            <w:gridSpan w:val="2"/>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初级职称人员</w:t>
            </w:r>
          </w:p>
        </w:tc>
        <w:tc>
          <w:tcPr>
            <w:tcW w:w="1307"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7618" w:type="dxa"/>
            <w:gridSpan w:val="7"/>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523" w:type="dxa"/>
            <w:vAlign w:val="center"/>
          </w:tcPr>
          <w:p>
            <w:pPr>
              <w:autoSpaceDE w:val="0"/>
              <w:autoSpaceDN w:val="0"/>
              <w:adjustRightInd w:val="0"/>
              <w:spacing w:line="36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备注</w:t>
            </w:r>
          </w:p>
        </w:tc>
        <w:tc>
          <w:tcPr>
            <w:tcW w:w="7618" w:type="dxa"/>
            <w:gridSpan w:val="7"/>
            <w:vAlign w:val="center"/>
          </w:tcPr>
          <w:p>
            <w:pPr>
              <w:autoSpaceDE w:val="0"/>
              <w:autoSpaceDN w:val="0"/>
              <w:adjustRightInd w:val="0"/>
              <w:spacing w:line="360" w:lineRule="exac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供应商可跟据企业实际情况增加或删减填写此表</w:t>
            </w:r>
          </w:p>
        </w:tc>
      </w:tr>
    </w:tbl>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bookmarkStart w:id="302" w:name="_Toc24712"/>
    </w:p>
    <w:p>
      <w:pPr>
        <w:rPr>
          <w:rFonts w:hint="eastAsia" w:asciiTheme="minorEastAsia" w:hAnsiTheme="minorEastAsia" w:eastAsiaTheme="minorEastAsia" w:cstheme="minorEastAsia"/>
        </w:rPr>
      </w:pPr>
      <w:bookmarkStart w:id="303" w:name="_Toc8967"/>
    </w:p>
    <w:p>
      <w:pPr>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八、</w:t>
      </w:r>
      <w:bookmarkEnd w:id="302"/>
      <w:bookmarkEnd w:id="303"/>
      <w:r>
        <w:rPr>
          <w:rFonts w:hint="eastAsia" w:asciiTheme="minorEastAsia" w:hAnsiTheme="minorEastAsia" w:eastAsiaTheme="minorEastAsia" w:cstheme="minorEastAsia"/>
        </w:rPr>
        <w:t>投标承诺函</w:t>
      </w:r>
    </w:p>
    <w:p>
      <w:pPr>
        <w:jc w:val="center"/>
        <w:rPr>
          <w:rFonts w:hint="eastAsia" w:asciiTheme="minorEastAsia" w:hAnsiTheme="minorEastAsia" w:eastAsiaTheme="minorEastAsia" w:cstheme="minorEastAsia"/>
          <w:b/>
          <w:sz w:val="44"/>
          <w:szCs w:val="44"/>
        </w:rPr>
      </w:pP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我单位对</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项目</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项目编号：</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采购编号：</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）投标行为做出承诺，保证所提交材料的真实性。</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我单位承诺：</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1、在投标文件递交截止时间后至确定成交人的</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"https://baike.so.com/doc/5394983-5632135.html" \t "https://baike.so.com/doc/_blank"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投标有效期</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内，我单位不得要求退出竞标或者修改投标文件且对递交的投标文件负责，受其约束。</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2、若我单位中标，在接到成交通知书后，除不可抗力因素外，及时按规定与采购人签订合同并认真履约。</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非因不可抗力因素放弃成交或未按规定期限与采购人签订合同，愿赔偿采购人由此造成的损失（损失费由采购人按相关规定计算），并愿接受采购金额千分之五以上千分之十以下罚款、列入不良行为记录名单、在1至3年内禁止参加政府采购活动、给予通报的处罚。</w:t>
      </w:r>
    </w:p>
    <w:p>
      <w:pPr>
        <w:spacing w:line="600" w:lineRule="exact"/>
        <w:ind w:firstLine="420" w:firstLineChars="200"/>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4、不存在法律法规规定的其他违法违规行为。</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供应商名称（盖章）：</w:t>
      </w:r>
    </w:p>
    <w:p>
      <w:pPr>
        <w:spacing w:line="6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法人代表或授权委托人（签字或盖章）：</w:t>
      </w:r>
    </w:p>
    <w:p>
      <w:pPr>
        <w:rPr>
          <w:rFonts w:hint="eastAsia" w:asciiTheme="minorEastAsia" w:hAnsiTheme="minorEastAsia" w:eastAsiaTheme="minorEastAsia" w:cstheme="minorEastAsia"/>
        </w:rPr>
      </w:pPr>
      <w:bookmarkStart w:id="304" w:name="_Toc27148152"/>
    </w:p>
    <w:p>
      <w:pPr>
        <w:rPr>
          <w:rFonts w:hint="eastAsia" w:asciiTheme="minorEastAsia" w:hAnsiTheme="minorEastAsia" w:eastAsiaTheme="minorEastAsia" w:cstheme="minorEastAsia"/>
        </w:rPr>
      </w:pPr>
      <w:bookmarkStart w:id="305" w:name="_Toc14962"/>
      <w:r>
        <w:rPr>
          <w:rFonts w:hint="eastAsia" w:asciiTheme="minorEastAsia" w:hAnsiTheme="minorEastAsia" w:eastAsiaTheme="minorEastAsia" w:cstheme="minorEastAsia"/>
        </w:rPr>
        <w:t>年月日</w:t>
      </w:r>
      <w:bookmarkEnd w:id="304"/>
      <w:bookmarkEnd w:id="305"/>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41"/>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bookmarkEnd w:id="294"/>
    <w:bookmarkEnd w:id="295"/>
    <w:bookmarkEnd w:id="296"/>
    <w:p>
      <w:pPr>
        <w:pStyle w:val="24"/>
        <w:rPr>
          <w:rFonts w:hint="eastAsia" w:asciiTheme="minorEastAsia" w:hAnsiTheme="minorEastAsia" w:eastAsiaTheme="minorEastAsia" w:cstheme="minorEastAsia"/>
        </w:rPr>
      </w:pPr>
      <w:bookmarkStart w:id="306" w:name="_Toc26015"/>
      <w:bookmarkStart w:id="307" w:name="_Toc25974"/>
      <w:bookmarkStart w:id="308" w:name="_Toc27148155"/>
      <w:bookmarkStart w:id="309" w:name="_Toc26740"/>
      <w:r>
        <w:rPr>
          <w:rFonts w:hint="eastAsia" w:asciiTheme="minorEastAsia" w:hAnsiTheme="minorEastAsia" w:eastAsiaTheme="minorEastAsia" w:cstheme="minorEastAsia"/>
        </w:rPr>
        <w:t>九、企业业绩表</w:t>
      </w:r>
    </w:p>
    <w:p>
      <w:pPr>
        <w:rPr>
          <w:rFonts w:hint="eastAsia" w:asciiTheme="minorEastAsia" w:hAnsiTheme="minorEastAsia" w:eastAsiaTheme="minorEastAsia" w:cstheme="minorEastAsia"/>
        </w:rPr>
      </w:pPr>
    </w:p>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近年类似业绩（附复印件）（如有）</w:t>
      </w:r>
    </w:p>
    <w:p>
      <w:pPr>
        <w:spacing w:line="360" w:lineRule="exact"/>
        <w:ind w:firstLine="420" w:firstLineChars="200"/>
        <w:rPr>
          <w:rFonts w:hint="eastAsia" w:asciiTheme="minorEastAsia" w:hAnsiTheme="minorEastAsia" w:eastAsiaTheme="minorEastAsia" w:cstheme="minorEastAsia"/>
          <w:szCs w:val="21"/>
        </w:rPr>
      </w:pPr>
    </w:p>
    <w:tbl>
      <w:tblPr>
        <w:tblStyle w:val="40"/>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708"/>
        <w:gridCol w:w="3204"/>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2137"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1708" w:type="dxa"/>
            <w:vAlign w:val="center"/>
          </w:tcPr>
          <w:p>
            <w:pPr>
              <w:spacing w:line="360" w:lineRule="exact"/>
              <w:ind w:left="57"/>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签约日期</w:t>
            </w:r>
          </w:p>
        </w:tc>
        <w:tc>
          <w:tcPr>
            <w:tcW w:w="3204"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业绩（合同）</w:t>
            </w:r>
          </w:p>
        </w:tc>
        <w:tc>
          <w:tcPr>
            <w:tcW w:w="1731" w:type="dxa"/>
            <w:vAlign w:val="center"/>
          </w:tcPr>
          <w:p>
            <w:pPr>
              <w:spacing w:line="3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137" w:type="dxa"/>
          </w:tcPr>
          <w:p>
            <w:pPr>
              <w:spacing w:line="360" w:lineRule="exact"/>
              <w:rPr>
                <w:rFonts w:hint="eastAsia" w:asciiTheme="minorEastAsia" w:hAnsiTheme="minorEastAsia" w:eastAsiaTheme="minorEastAsia" w:cstheme="minorEastAsia"/>
                <w:szCs w:val="21"/>
              </w:rPr>
            </w:pPr>
          </w:p>
        </w:tc>
        <w:tc>
          <w:tcPr>
            <w:tcW w:w="1708" w:type="dxa"/>
          </w:tcPr>
          <w:p>
            <w:pPr>
              <w:spacing w:line="360" w:lineRule="exact"/>
              <w:rPr>
                <w:rFonts w:hint="eastAsia" w:asciiTheme="minorEastAsia" w:hAnsiTheme="minorEastAsia" w:eastAsiaTheme="minorEastAsia" w:cstheme="minorEastAsia"/>
                <w:szCs w:val="21"/>
              </w:rPr>
            </w:pPr>
          </w:p>
        </w:tc>
        <w:tc>
          <w:tcPr>
            <w:tcW w:w="3204" w:type="dxa"/>
          </w:tcPr>
          <w:p>
            <w:pPr>
              <w:spacing w:line="360" w:lineRule="exact"/>
              <w:rPr>
                <w:rFonts w:hint="eastAsia" w:asciiTheme="minorEastAsia" w:hAnsiTheme="minorEastAsia" w:eastAsiaTheme="minorEastAsia" w:cstheme="minorEastAsia"/>
                <w:szCs w:val="21"/>
              </w:rPr>
            </w:pPr>
          </w:p>
        </w:tc>
        <w:tc>
          <w:tcPr>
            <w:tcW w:w="1731" w:type="dxa"/>
          </w:tcPr>
          <w:p>
            <w:pPr>
              <w:spacing w:line="360" w:lineRule="exact"/>
              <w:rPr>
                <w:rFonts w:hint="eastAsia" w:asciiTheme="minorEastAsia" w:hAnsiTheme="minorEastAsia" w:eastAsiaTheme="minorEastAsia" w:cstheme="minorEastAsia"/>
                <w:szCs w:val="21"/>
              </w:rPr>
            </w:pPr>
          </w:p>
        </w:tc>
      </w:tr>
    </w:tbl>
    <w:p>
      <w:pPr>
        <w:spacing w:line="360" w:lineRule="exact"/>
        <w:ind w:firstLine="472" w:firstLineChars="225"/>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表格后附：</w:t>
      </w:r>
    </w:p>
    <w:p>
      <w:pPr>
        <w:jc w:val="both"/>
        <w:rPr>
          <w:rFonts w:hint="eastAsia" w:asciiTheme="minorEastAsia" w:hAnsiTheme="minorEastAsia" w:eastAsiaTheme="minorEastAsia" w:cstheme="minorEastAsia"/>
          <w:highlight w:val="none"/>
        </w:rPr>
      </w:pPr>
      <w:bookmarkStart w:id="310" w:name="_Toc27148154"/>
      <w:bookmarkStart w:id="311" w:name="_Toc488422625"/>
      <w:bookmarkStart w:id="312" w:name="_Toc30618"/>
      <w:bookmarkStart w:id="313" w:name="_Toc20257"/>
      <w:bookmarkStart w:id="314" w:name="_Toc22559"/>
      <w:bookmarkStart w:id="315" w:name="_Toc29082"/>
      <w:bookmarkStart w:id="316" w:name="_Toc13762"/>
      <w:bookmarkStart w:id="317" w:name="_Toc14917"/>
      <w:bookmarkStart w:id="318" w:name="_Toc488422026"/>
      <w:r>
        <w:rPr>
          <w:rFonts w:hint="eastAsia" w:asciiTheme="minorEastAsia" w:hAnsiTheme="minorEastAsia" w:eastAsiaTheme="minorEastAsia" w:cstheme="minorEastAsia"/>
          <w:highlight w:val="none"/>
        </w:rPr>
        <w:t>1、供应商提供 201</w:t>
      </w:r>
      <w:r>
        <w:rPr>
          <w:rFonts w:hint="eastAsia" w:asciiTheme="minorEastAsia" w:hAnsiTheme="minorEastAsia" w:eastAsiaTheme="minorEastAsia" w:cstheme="minorEastAsia"/>
          <w:highlight w:val="none"/>
          <w:lang w:val="en-US" w:eastAsia="zh-CN"/>
        </w:rPr>
        <w:t>6</w:t>
      </w:r>
      <w:r>
        <w:rPr>
          <w:rFonts w:hint="eastAsia" w:asciiTheme="minorEastAsia" w:hAnsiTheme="minorEastAsia" w:eastAsiaTheme="minorEastAsia" w:cstheme="minorEastAsia"/>
          <w:highlight w:val="none"/>
        </w:rPr>
        <w:t>年 1月 1 日以来类似项目业绩的中标通知书</w:t>
      </w:r>
      <w:r>
        <w:rPr>
          <w:rFonts w:hint="eastAsia" w:asciiTheme="minorEastAsia" w:hAnsiTheme="minorEastAsia" w:eastAsiaTheme="minorEastAsia" w:cstheme="minorEastAsia"/>
          <w:highlight w:val="none"/>
          <w:lang w:eastAsia="zh-CN"/>
        </w:rPr>
        <w:t>或</w:t>
      </w:r>
      <w:r>
        <w:rPr>
          <w:rFonts w:hint="eastAsia" w:asciiTheme="minorEastAsia" w:hAnsiTheme="minorEastAsia" w:eastAsiaTheme="minorEastAsia" w:cstheme="minorEastAsia"/>
          <w:highlight w:val="none"/>
        </w:rPr>
        <w:t>合同；</w:t>
      </w: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sz w:val="24"/>
        </w:rPr>
        <w:t>投标人可根据自身实际情况增减类似业绩数量</w:t>
      </w:r>
    </w:p>
    <w:p>
      <w:pPr>
        <w:ind w:firstLine="7140" w:firstLineChars="34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年月日</w:t>
      </w:r>
      <w:bookmarkEnd w:id="310"/>
      <w:bookmarkEnd w:id="311"/>
      <w:bookmarkEnd w:id="312"/>
      <w:bookmarkEnd w:id="313"/>
      <w:bookmarkEnd w:id="314"/>
      <w:bookmarkEnd w:id="315"/>
      <w:bookmarkEnd w:id="316"/>
      <w:bookmarkEnd w:id="317"/>
      <w:bookmarkEnd w:id="318"/>
    </w:p>
    <w:p>
      <w:pPr>
        <w:rPr>
          <w:rFonts w:hint="eastAsia" w:asciiTheme="minorEastAsia" w:hAnsiTheme="minorEastAsia" w:eastAsiaTheme="minorEastAsia" w:cstheme="minorEastAsia"/>
        </w:rPr>
      </w:pPr>
    </w:p>
    <w:p>
      <w:pPr>
        <w:spacing w:line="360" w:lineRule="exact"/>
        <w:ind w:firstLine="472" w:firstLineChars="225"/>
        <w:jc w:val="right"/>
        <w:rPr>
          <w:rFonts w:hint="eastAsia" w:asciiTheme="minorEastAsia" w:hAnsiTheme="minorEastAsia" w:eastAsiaTheme="minorEastAsia" w:cstheme="minorEastAsia"/>
          <w:szCs w:val="21"/>
        </w:rPr>
      </w:pPr>
      <w:bookmarkStart w:id="319" w:name="_Toc8980"/>
    </w:p>
    <w:p>
      <w:pPr>
        <w:spacing w:line="360" w:lineRule="exact"/>
        <w:ind w:firstLine="472" w:firstLineChars="225"/>
        <w:jc w:val="right"/>
        <w:rPr>
          <w:rFonts w:hint="eastAsia" w:asciiTheme="minorEastAsia" w:hAnsiTheme="minorEastAsia" w:eastAsiaTheme="minorEastAsia" w:cstheme="minorEastAsia"/>
          <w:szCs w:val="21"/>
        </w:rPr>
      </w:pPr>
    </w:p>
    <w:bookmarkEnd w:id="319"/>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41"/>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十、</w:t>
      </w:r>
      <w:bookmarkEnd w:id="306"/>
      <w:r>
        <w:rPr>
          <w:rFonts w:hint="eastAsia" w:asciiTheme="minorEastAsia" w:hAnsiTheme="minorEastAsia" w:eastAsiaTheme="minorEastAsia" w:cstheme="minorEastAsia"/>
        </w:rPr>
        <w:t>无行贿犯罪承诺书</w:t>
      </w:r>
      <w:bookmarkEnd w:id="307"/>
      <w:bookmarkEnd w:id="308"/>
    </w:p>
    <w:p>
      <w:pPr>
        <w:spacing w:line="480" w:lineRule="exact"/>
        <w:rPr>
          <w:rFonts w:hint="eastAsia" w:asciiTheme="minorEastAsia" w:hAnsiTheme="minorEastAsia" w:eastAsiaTheme="minorEastAsia" w:cstheme="minorEastAsia"/>
        </w:rPr>
      </w:pPr>
      <w:bookmarkStart w:id="320" w:name="_Toc21896"/>
      <w:bookmarkStart w:id="321" w:name="_Toc27148156"/>
      <w:r>
        <w:rPr>
          <w:rFonts w:hint="eastAsia" w:asciiTheme="minorEastAsia" w:hAnsiTheme="minorEastAsia" w:eastAsiaTheme="minorEastAsia" w:cstheme="minorEastAsia"/>
        </w:rPr>
        <w:t>我公司承诺：</w:t>
      </w:r>
      <w:bookmarkEnd w:id="320"/>
      <w:bookmarkEnd w:id="321"/>
    </w:p>
    <w:p>
      <w:pPr>
        <w:spacing w:line="480" w:lineRule="exact"/>
        <w:rPr>
          <w:rFonts w:hint="eastAsia" w:asciiTheme="minorEastAsia" w:hAnsiTheme="minorEastAsia" w:eastAsiaTheme="minorEastAsia" w:cstheme="minorEastAsia"/>
        </w:rPr>
      </w:pPr>
      <w:bookmarkStart w:id="322" w:name="_Toc21450"/>
      <w:bookmarkStart w:id="323" w:name="_Toc27148157"/>
      <w:r>
        <w:rPr>
          <w:rFonts w:hint="eastAsia" w:asciiTheme="minorEastAsia" w:hAnsiTheme="minorEastAsia" w:eastAsiaTheme="minorEastAsia" w:cstheme="minorEastAsia"/>
        </w:rPr>
        <w:t>在</w:t>
      </w:r>
      <w:r>
        <w:rPr>
          <w:rFonts w:hint="eastAsia" w:asciiTheme="minorEastAsia" w:hAnsiTheme="minorEastAsia" w:eastAsiaTheme="minorEastAsia" w:cstheme="minorEastAsia"/>
          <w:u w:val="single"/>
        </w:rPr>
        <w:t>（投标项目名称）</w:t>
      </w:r>
      <w:r>
        <w:rPr>
          <w:rFonts w:hint="eastAsia" w:asciiTheme="minorEastAsia" w:hAnsiTheme="minorEastAsia" w:eastAsiaTheme="minorEastAsia" w:cstheme="minorEastAsia"/>
        </w:rPr>
        <w:t>投标活动中，我公司保证做到：</w:t>
      </w:r>
      <w:bookmarkEnd w:id="322"/>
      <w:bookmarkEnd w:id="323"/>
    </w:p>
    <w:p>
      <w:pPr>
        <w:spacing w:line="480" w:lineRule="exact"/>
        <w:rPr>
          <w:rFonts w:hint="eastAsia" w:asciiTheme="minorEastAsia" w:hAnsiTheme="minorEastAsia" w:eastAsiaTheme="minorEastAsia" w:cstheme="minorEastAsia"/>
        </w:rPr>
      </w:pPr>
      <w:bookmarkStart w:id="324" w:name="_Toc15182"/>
      <w:bookmarkStart w:id="325" w:name="_Toc27148158"/>
      <w:r>
        <w:rPr>
          <w:rFonts w:hint="eastAsia" w:asciiTheme="minorEastAsia" w:hAnsiTheme="minorEastAsia" w:eastAsiaTheme="minorEastAsia" w:cstheme="minorEastAsia"/>
        </w:rPr>
        <w:t>一、公平参加本次投标活动。</w:t>
      </w:r>
      <w:bookmarkEnd w:id="324"/>
      <w:bookmarkEnd w:id="325"/>
    </w:p>
    <w:p>
      <w:pPr>
        <w:spacing w:line="480" w:lineRule="exact"/>
        <w:rPr>
          <w:rFonts w:hint="eastAsia" w:asciiTheme="minorEastAsia" w:hAnsiTheme="minorEastAsia" w:eastAsiaTheme="minorEastAsia" w:cstheme="minorEastAsia"/>
        </w:rPr>
      </w:pPr>
      <w:bookmarkStart w:id="326" w:name="_Toc27148159"/>
      <w:bookmarkStart w:id="327" w:name="_Toc13527"/>
      <w:r>
        <w:rPr>
          <w:rFonts w:hint="eastAsia" w:asciiTheme="minorEastAsia" w:hAnsiTheme="minorEastAsia" w:eastAsiaTheme="minorEastAsia" w:cstheme="minorEastAsia"/>
        </w:rPr>
        <w:t>二、杜绝任何形式的商业贿赂行为。不向国家工作人员、政府采购代理机构工作人员、评审专家及</w:t>
      </w:r>
      <w:bookmarkEnd w:id="326"/>
      <w:bookmarkEnd w:id="327"/>
    </w:p>
    <w:p>
      <w:pPr>
        <w:spacing w:line="480" w:lineRule="exact"/>
        <w:rPr>
          <w:rFonts w:hint="eastAsia" w:asciiTheme="minorEastAsia" w:hAnsiTheme="minorEastAsia" w:eastAsiaTheme="minorEastAsia" w:cstheme="minorEastAsia"/>
        </w:rPr>
      </w:pPr>
      <w:bookmarkStart w:id="328" w:name="_Toc29485"/>
      <w:bookmarkStart w:id="329" w:name="_Toc27148160"/>
      <w:r>
        <w:rPr>
          <w:rFonts w:hint="eastAsia" w:asciiTheme="minorEastAsia" w:hAnsiTheme="minorEastAsia" w:eastAsiaTheme="minorEastAsia" w:cstheme="minorEastAsia"/>
        </w:rPr>
        <w:t>其亲属提供礼品礼金、回扣、佣金等费用。</w:t>
      </w:r>
      <w:bookmarkEnd w:id="328"/>
      <w:bookmarkEnd w:id="329"/>
    </w:p>
    <w:p>
      <w:pPr>
        <w:spacing w:line="480" w:lineRule="exact"/>
        <w:rPr>
          <w:rFonts w:hint="eastAsia" w:asciiTheme="minorEastAsia" w:hAnsiTheme="minorEastAsia" w:eastAsiaTheme="minorEastAsia" w:cstheme="minorEastAsia"/>
        </w:rPr>
      </w:pPr>
      <w:bookmarkStart w:id="330" w:name="_Toc27148161"/>
      <w:bookmarkStart w:id="331" w:name="_Toc17864"/>
      <w:r>
        <w:rPr>
          <w:rFonts w:hint="eastAsia" w:asciiTheme="minorEastAsia" w:hAnsiTheme="minorEastAsia" w:eastAsiaTheme="minorEastAsia" w:cstheme="minorEastAsia"/>
        </w:rPr>
        <w:t>三、若出现上述行为，我公司及参与投标的工作人员愿意接受按照国家法律法规等有关规定的处罚。</w:t>
      </w:r>
      <w:bookmarkEnd w:id="330"/>
      <w:bookmarkEnd w:id="331"/>
    </w:p>
    <w:p>
      <w:pPr>
        <w:spacing w:line="480" w:lineRule="exact"/>
        <w:rPr>
          <w:rFonts w:hint="eastAsia" w:asciiTheme="minorEastAsia" w:hAnsiTheme="minorEastAsia" w:eastAsiaTheme="minorEastAsia" w:cstheme="minorEastAsia"/>
        </w:rPr>
      </w:pPr>
    </w:p>
    <w:p>
      <w:pPr>
        <w:spacing w:line="480" w:lineRule="exact"/>
        <w:rPr>
          <w:rFonts w:hint="eastAsia" w:asciiTheme="minorEastAsia" w:hAnsiTheme="minorEastAsia" w:eastAsiaTheme="minorEastAsia" w:cstheme="minorEastAsia"/>
        </w:rPr>
      </w:pPr>
    </w:p>
    <w:p>
      <w:pPr>
        <w:spacing w:line="480" w:lineRule="exact"/>
        <w:jc w:val="right"/>
        <w:rPr>
          <w:rFonts w:hint="eastAsia" w:asciiTheme="minorEastAsia" w:hAnsiTheme="minorEastAsia" w:eastAsiaTheme="minorEastAsia" w:cstheme="minorEastAsia"/>
        </w:rPr>
      </w:pPr>
      <w:bookmarkStart w:id="332" w:name="_Toc14798"/>
      <w:bookmarkStart w:id="333" w:name="_Toc27148162"/>
      <w:r>
        <w:rPr>
          <w:rFonts w:hint="eastAsia" w:asciiTheme="minorEastAsia" w:hAnsiTheme="minorEastAsia" w:eastAsiaTheme="minorEastAsia" w:cstheme="minorEastAsia"/>
        </w:rPr>
        <w:t>供应商：________ （单位公章）</w:t>
      </w:r>
      <w:bookmarkEnd w:id="332"/>
      <w:bookmarkEnd w:id="333"/>
    </w:p>
    <w:p>
      <w:pPr>
        <w:spacing w:line="480" w:lineRule="exact"/>
        <w:jc w:val="right"/>
        <w:rPr>
          <w:rFonts w:hint="eastAsia" w:asciiTheme="minorEastAsia" w:hAnsiTheme="minorEastAsia" w:eastAsiaTheme="minorEastAsia" w:cstheme="minorEastAsia"/>
        </w:rPr>
      </w:pPr>
      <w:bookmarkStart w:id="334" w:name="_Toc27148163"/>
      <w:bookmarkStart w:id="335" w:name="_Toc7205"/>
      <w:r>
        <w:rPr>
          <w:rFonts w:hint="eastAsia" w:asciiTheme="minorEastAsia" w:hAnsiTheme="minorEastAsia" w:eastAsiaTheme="minorEastAsia" w:cstheme="minorEastAsia"/>
        </w:rPr>
        <w:t>法定代表人或其委托代理人：______ （签字或盖章）</w:t>
      </w:r>
      <w:bookmarkEnd w:id="334"/>
      <w:bookmarkEnd w:id="335"/>
    </w:p>
    <w:p>
      <w:pPr>
        <w:spacing w:line="480" w:lineRule="exact"/>
        <w:jc w:val="right"/>
        <w:rPr>
          <w:rFonts w:hint="eastAsia" w:asciiTheme="minorEastAsia" w:hAnsiTheme="minorEastAsia" w:eastAsiaTheme="minorEastAsia" w:cstheme="minorEastAsia"/>
        </w:rPr>
      </w:pPr>
      <w:bookmarkStart w:id="336" w:name="_Toc29719"/>
      <w:bookmarkStart w:id="337" w:name="_Toc27148164"/>
      <w:r>
        <w:rPr>
          <w:rFonts w:hint="eastAsia" w:asciiTheme="minorEastAsia" w:hAnsiTheme="minorEastAsia" w:eastAsiaTheme="minorEastAsia" w:cstheme="minorEastAsia"/>
        </w:rPr>
        <w:t>_____年__月___日</w:t>
      </w:r>
      <w:bookmarkEnd w:id="336"/>
      <w:bookmarkEnd w:id="337"/>
    </w:p>
    <w:p>
      <w:pPr>
        <w:spacing w:line="480" w:lineRule="exact"/>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41"/>
        <w:rPr>
          <w:rFonts w:hint="eastAsia" w:asciiTheme="minorEastAsia" w:hAnsiTheme="minorEastAsia" w:eastAsiaTheme="minorEastAsia" w:cstheme="minorEastAsia"/>
          <w:color w:val="auto"/>
        </w:rPr>
      </w:pPr>
    </w:p>
    <w:p>
      <w:pPr>
        <w:pStyle w:val="24"/>
        <w:rPr>
          <w:rFonts w:hint="eastAsia" w:asciiTheme="minorEastAsia" w:hAnsiTheme="minorEastAsia" w:eastAsiaTheme="minorEastAsia" w:cstheme="minorEastAsia"/>
        </w:rPr>
      </w:pPr>
      <w:bookmarkStart w:id="338" w:name="_Toc30074"/>
      <w:bookmarkStart w:id="339" w:name="_Toc209"/>
      <w:bookmarkStart w:id="340" w:name="_Toc174"/>
      <w:bookmarkStart w:id="341" w:name="_Toc27148165"/>
      <w:r>
        <w:rPr>
          <w:rFonts w:hint="eastAsia" w:asciiTheme="minorEastAsia" w:hAnsiTheme="minorEastAsia" w:eastAsiaTheme="minorEastAsia" w:cstheme="minorEastAsia"/>
        </w:rPr>
        <w:t>十一、</w:t>
      </w:r>
      <w:bookmarkEnd w:id="338"/>
      <w:r>
        <w:rPr>
          <w:rFonts w:hint="eastAsia" w:asciiTheme="minorEastAsia" w:hAnsiTheme="minorEastAsia" w:eastAsiaTheme="minorEastAsia" w:cstheme="minorEastAsia"/>
        </w:rPr>
        <w:t>反商业贿赂承诺书</w:t>
      </w:r>
      <w:bookmarkEnd w:id="339"/>
      <w:bookmarkEnd w:id="340"/>
      <w:bookmarkEnd w:id="341"/>
    </w:p>
    <w:p>
      <w:pPr>
        <w:spacing w:line="360" w:lineRule="exact"/>
        <w:rPr>
          <w:rFonts w:hint="eastAsia" w:asciiTheme="minorEastAsia" w:hAnsiTheme="minorEastAsia" w:eastAsiaTheme="minorEastAsia" w:cstheme="minorEastAsia"/>
          <w:szCs w:val="21"/>
        </w:rPr>
      </w:pPr>
    </w:p>
    <w:p>
      <w:pPr>
        <w:spacing w:line="6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我公司承诺：</w:t>
      </w:r>
      <w:r>
        <w:rPr>
          <w:rFonts w:hint="eastAsia" w:asciiTheme="minorEastAsia" w:hAnsiTheme="minorEastAsia" w:eastAsiaTheme="minorEastAsia" w:cstheme="minorEastAsia"/>
          <w:szCs w:val="21"/>
        </w:rPr>
        <w:tab/>
      </w:r>
    </w:p>
    <w:p>
      <w:pPr>
        <w:spacing w:line="6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w:t>
      </w:r>
      <w:r>
        <w:rPr>
          <w:rFonts w:hint="eastAsia" w:asciiTheme="minorEastAsia" w:hAnsiTheme="minorEastAsia" w:eastAsiaTheme="minorEastAsia" w:cstheme="minorEastAsia"/>
          <w:szCs w:val="21"/>
          <w:u w:val="single"/>
        </w:rPr>
        <w:t>（投标项目名称）</w:t>
      </w:r>
      <w:r>
        <w:rPr>
          <w:rFonts w:hint="eastAsia" w:asciiTheme="minorEastAsia" w:hAnsiTheme="minorEastAsia" w:eastAsiaTheme="minorEastAsia" w:cstheme="minorEastAsia"/>
          <w:szCs w:val="21"/>
        </w:rPr>
        <w:t>投标活动中，我公司保证做到：</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一、公平参加本次投标活动。</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二、杜绝任何形式的商业贿赂行为。不向国家工作人员、政府采购代理机构工作人员、评审专家及其亲属提供礼品礼金、回扣、佣金等费用。</w:t>
      </w:r>
    </w:p>
    <w:p>
      <w:pPr>
        <w:spacing w:line="6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三、若出现上述行为，我公司及参与投标的工作人员愿意接受按照国家法律法规等有关规定的处罚。</w:t>
      </w:r>
    </w:p>
    <w:p>
      <w:pPr>
        <w:spacing w:line="600" w:lineRule="exact"/>
        <w:ind w:firstLine="5880" w:firstLineChars="2800"/>
        <w:rPr>
          <w:rFonts w:hint="eastAsia" w:asciiTheme="minorEastAsia" w:hAnsiTheme="minorEastAsia" w:eastAsiaTheme="minorEastAsia" w:cstheme="minorEastAsia"/>
          <w:szCs w:val="21"/>
        </w:rPr>
      </w:pPr>
    </w:p>
    <w:p>
      <w:pPr>
        <w:spacing w:line="48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供应商：________ （单位公章）</w:t>
      </w:r>
    </w:p>
    <w:p>
      <w:pPr>
        <w:spacing w:line="48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法定代表人或其委托代理人：______ （签字或盖章）</w:t>
      </w:r>
    </w:p>
    <w:p>
      <w:pPr>
        <w:spacing w:line="48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_____年__月___日</w:t>
      </w:r>
    </w:p>
    <w:p>
      <w:pPr>
        <w:spacing w:line="480" w:lineRule="exact"/>
        <w:rPr>
          <w:rFonts w:hint="eastAsia" w:asciiTheme="minorEastAsia" w:hAnsiTheme="minorEastAsia" w:eastAsiaTheme="minorEastAsia" w:cstheme="minorEastAsia"/>
        </w:rPr>
      </w:pPr>
    </w:p>
    <w:p>
      <w:pPr>
        <w:spacing w:line="600" w:lineRule="exact"/>
        <w:ind w:firstLine="315" w:firstLineChars="150"/>
        <w:jc w:val="cente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十二、供应商资格证明文件</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1.营业执照（副本）；</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2.法定代表人证明或法定代表人有效委托书及本人身份证；</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3.开标前六个月内任一个月依法缴纳税收的凭证；</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4.开标前六个月内任一个月依法缴纳社会保障资金的证明；</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5.参加政府采购活动前三年内，在经营活动中没有重大违法记录声明；</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6.财务状况报告（投标文件递交截止日期前十二个月内任一个月的资产负债表或损益表或年度财务会计报 表或会计事务所出具的审计报告））；</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信誉证明:根据《关于在政府采购活动中查询及使用信用记录有关问题的通知》(财库[2016]125号)的规定，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供应商需提供网站查询截图，加盖企业公章）；</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8.供应商必须提供无行贿犯罪记录承诺书，((出具由“中国裁判文书网”网站查询近三年来法人、法定代表人、法定代表人委托人无行贿犯罪记录网页截图加盖企业公章证明) )；若有行贿犯罪记录则取消其投标资格；</w:t>
      </w:r>
    </w:p>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9.</w:t>
      </w:r>
      <w:r>
        <w:rPr>
          <w:rFonts w:hint="eastAsia" w:asciiTheme="minorEastAsia" w:hAnsiTheme="minorEastAsia" w:eastAsiaTheme="minorEastAsia" w:cstheme="minorEastAsia"/>
          <w:lang w:eastAsia="zh-CN"/>
        </w:rPr>
        <w:t>投标承诺函；</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供应商认为有必要提供的其他材料。</w:t>
      </w:r>
    </w:p>
    <w:p>
      <w:pPr>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资格审查资料所需证件均为复印件，开标时提供相应原件并列明清单，供评委评审。（</w:t>
      </w:r>
      <w:r>
        <w:rPr>
          <w:rFonts w:hint="eastAsia" w:asciiTheme="minorEastAsia" w:hAnsiTheme="minorEastAsia" w:eastAsiaTheme="minorEastAsia" w:cstheme="minorEastAsia"/>
        </w:rPr>
        <w:t>以上复印件必须加盖单位公章</w:t>
      </w:r>
    </w:p>
    <w:p>
      <w:pPr>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注：招标文件所述资格证明文件须装订在投标文件中，供应商在开标时提供原件进行审查。</w:t>
      </w:r>
    </w:p>
    <w:p>
      <w:pPr>
        <w:bidi w:val="0"/>
        <w:rPr>
          <w:rFonts w:hint="eastAsia" w:asciiTheme="minorEastAsia" w:hAnsiTheme="minorEastAsia" w:eastAsiaTheme="minorEastAsia" w:cstheme="minorEastAsia"/>
        </w:rPr>
      </w:pPr>
      <w:bookmarkStart w:id="342" w:name="_Toc24571"/>
      <w:bookmarkStart w:id="343" w:name="_Toc10246"/>
      <w:bookmarkStart w:id="344" w:name="_Toc20524"/>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附件一：</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具有履行合同所必需的设备和专业技术能力的声明</w:t>
      </w:r>
    </w:p>
    <w:p>
      <w:pPr>
        <w:spacing w:line="460" w:lineRule="exact"/>
        <w:rPr>
          <w:rFonts w:hint="eastAsia" w:asciiTheme="minorEastAsia" w:hAnsiTheme="minorEastAsia" w:eastAsiaTheme="minorEastAsia" w:cstheme="minorEastAsia"/>
        </w:rPr>
      </w:pPr>
    </w:p>
    <w:p>
      <w:pPr>
        <w:spacing w:line="460" w:lineRule="exact"/>
        <w:rPr>
          <w:rFonts w:hint="eastAsia" w:asciiTheme="minorEastAsia" w:hAnsiTheme="minorEastAsia" w:eastAsiaTheme="minorEastAsia" w:cstheme="minorEastAsia"/>
        </w:rPr>
      </w:pPr>
    </w:p>
    <w:p>
      <w:pPr>
        <w:spacing w:line="4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（采购人名称）：</w:t>
      </w:r>
    </w:p>
    <w:p>
      <w:pPr>
        <w:spacing w:line="4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我方承诺并声明：我方能够按照招标文件、投标文件及合同的要求提供本项目所需服务，郑重承诺我方具备履行合同所必需的相应的专业技术能力。否则，我方愿承担相应责任。</w:t>
      </w:r>
    </w:p>
    <w:p>
      <w:pPr>
        <w:spacing w:line="4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特此声明</w:t>
      </w:r>
    </w:p>
    <w:p>
      <w:pPr>
        <w:spacing w:line="460" w:lineRule="exact"/>
        <w:jc w:val="right"/>
        <w:rPr>
          <w:rFonts w:hint="eastAsia" w:asciiTheme="minorEastAsia" w:hAnsiTheme="minorEastAsia" w:eastAsiaTheme="minorEastAsia" w:cstheme="minorEastAsia"/>
        </w:rPr>
      </w:pPr>
    </w:p>
    <w:p>
      <w:pPr>
        <w:spacing w:line="460" w:lineRule="exact"/>
        <w:jc w:val="right"/>
        <w:rPr>
          <w:rFonts w:hint="eastAsia" w:asciiTheme="minorEastAsia" w:hAnsiTheme="minorEastAsia" w:eastAsiaTheme="minorEastAsia" w:cstheme="minorEastAsia"/>
        </w:rPr>
      </w:pPr>
    </w:p>
    <w:p>
      <w:pPr>
        <w:spacing w:line="460" w:lineRule="exact"/>
        <w:jc w:val="right"/>
        <w:rPr>
          <w:rFonts w:hint="eastAsia" w:asciiTheme="minorEastAsia" w:hAnsiTheme="minorEastAsia" w:eastAsiaTheme="minorEastAsia" w:cstheme="minorEastAsia"/>
        </w:rPr>
      </w:pPr>
    </w:p>
    <w:p>
      <w:pPr>
        <w:spacing w:line="46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供应商（加盖印章）：</w:t>
      </w:r>
    </w:p>
    <w:p>
      <w:pPr>
        <w:spacing w:line="46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法定代表人或其委托代理人（签字或盖章）：</w:t>
      </w:r>
    </w:p>
    <w:p>
      <w:pPr>
        <w:wordWrap w:val="0"/>
        <w:spacing w:line="460" w:lineRule="exact"/>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日期：年月日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附件二：</w:t>
      </w: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sz w:val="25"/>
        </w:rPr>
      </w:pPr>
      <w:r>
        <w:rPr>
          <w:rFonts w:hint="eastAsia" w:asciiTheme="minorEastAsia" w:hAnsiTheme="minorEastAsia" w:eastAsiaTheme="minorEastAsia" w:cstheme="minorEastAsia"/>
          <w:sz w:val="25"/>
        </w:rPr>
        <w:t>中小企业声明函（若是）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sz w:val="24"/>
          <w:szCs w:val="24"/>
        </w:rPr>
      </w:pPr>
      <w:r>
        <w:rPr>
          <w:rFonts w:ascii="宋体" w:hAnsi="宋体" w:eastAsia="宋体" w:cs="宋体"/>
          <w:sz w:val="24"/>
          <w:szCs w:val="24"/>
        </w:rPr>
        <w:t>本公司郑重声明，根据《政府采购促进中小 企业发展管理办法》（财库﹝2020﹞46 号）的规定，本公司参加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采购活动，服务全部由符合政策要求的中小企业承接。相关企业的具体情 况如下：</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600" w:leftChars="0" w:firstLine="0" w:firstLineChars="0"/>
        <w:textAlignment w:val="auto"/>
        <w:rPr>
          <w:rFonts w:ascii="宋体" w:hAnsi="宋体" w:eastAsia="宋体" w:cs="宋体"/>
          <w:sz w:val="24"/>
          <w:szCs w:val="24"/>
        </w:rPr>
      </w:pPr>
      <w:r>
        <w:rPr>
          <w:rFonts w:ascii="宋体" w:hAnsi="宋体" w:eastAsia="宋体" w:cs="宋体"/>
          <w:sz w:val="24"/>
          <w:szCs w:val="24"/>
          <w:u w:val="single"/>
        </w:rPr>
        <w:t>（标的名称）</w:t>
      </w:r>
      <w:r>
        <w:rPr>
          <w:rFonts w:ascii="宋体" w:hAnsi="宋体" w:eastAsia="宋体" w:cs="宋体"/>
          <w:sz w:val="24"/>
          <w:szCs w:val="24"/>
        </w:rPr>
        <w:t xml:space="preserve"> ，属于</w:t>
      </w:r>
      <w:r>
        <w:rPr>
          <w:rFonts w:ascii="宋体" w:hAnsi="宋体" w:eastAsia="宋体" w:cs="宋体"/>
          <w:sz w:val="24"/>
          <w:szCs w:val="24"/>
          <w:u w:val="single"/>
        </w:rPr>
        <w:t>（采购文件中明确的所属行业）</w:t>
      </w:r>
      <w:r>
        <w:rPr>
          <w:rFonts w:ascii="宋体" w:hAnsi="宋体" w:eastAsia="宋体" w:cs="宋体"/>
          <w:sz w:val="24"/>
          <w:szCs w:val="24"/>
        </w:rPr>
        <w:t>；承接企业为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万元，资产总额为</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万元，属于</w:t>
      </w:r>
      <w:r>
        <w:rPr>
          <w:rFonts w:ascii="宋体" w:hAnsi="宋体" w:eastAsia="宋体" w:cs="宋体"/>
          <w:sz w:val="24"/>
          <w:szCs w:val="24"/>
          <w:u w:val="single"/>
        </w:rPr>
        <w:t>（中型企业、 小型企业、微型企业）</w:t>
      </w:r>
      <w:r>
        <w:rPr>
          <w:rFonts w:ascii="宋体" w:hAnsi="宋体" w:eastAsia="宋体" w:cs="宋体"/>
          <w:sz w:val="24"/>
          <w:szCs w:val="24"/>
        </w:rPr>
        <w:t>；</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600" w:leftChars="0" w:firstLine="0" w:firstLineChars="0"/>
        <w:textAlignment w:val="auto"/>
        <w:rPr>
          <w:rFonts w:ascii="宋体" w:hAnsi="宋体" w:eastAsia="宋体" w:cs="宋体"/>
          <w:sz w:val="24"/>
          <w:szCs w:val="24"/>
        </w:rPr>
      </w:pP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万元，资产总额为</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万元，属于</w:t>
      </w:r>
      <w:r>
        <w:rPr>
          <w:rFonts w:ascii="宋体" w:hAnsi="宋体" w:eastAsia="宋体" w:cs="宋体"/>
          <w:sz w:val="24"/>
          <w:szCs w:val="24"/>
          <w:u w:val="single"/>
        </w:rPr>
        <w:t>（中型企业、 小型企业、微型企业）</w:t>
      </w:r>
      <w:r>
        <w:rPr>
          <w:rFonts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600" w:leftChars="0"/>
        <w:textAlignment w:val="auto"/>
        <w:rPr>
          <w:rFonts w:ascii="宋体" w:hAnsi="宋体" w:eastAsia="宋体" w:cs="宋体"/>
          <w:sz w:val="24"/>
          <w:szCs w:val="24"/>
        </w:rPr>
      </w:pPr>
      <w:r>
        <w:rPr>
          <w:rFonts w:ascii="宋体" w:hAnsi="宋体" w:eastAsia="宋体" w:cs="宋体"/>
          <w:sz w:val="24"/>
          <w:szCs w:val="24"/>
        </w:rPr>
        <w:t xml:space="preserve"> 以上企业，不属于大企业的分支机构，不存在控股股东为大企业的情形，也不存在与大企业的负责人为同一人的情形。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600" w:leftChars="0"/>
        <w:textAlignment w:val="auto"/>
        <w:rPr>
          <w:rFonts w:ascii="宋体" w:hAnsi="宋体" w:eastAsia="宋体" w:cs="宋体"/>
          <w:sz w:val="24"/>
          <w:szCs w:val="24"/>
        </w:rPr>
      </w:pPr>
      <w:r>
        <w:rPr>
          <w:rFonts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ascii="宋体" w:hAnsi="宋体" w:eastAsia="宋体" w:cs="宋体"/>
          <w:sz w:val="24"/>
          <w:szCs w:val="24"/>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rPr>
        <w:t>企业名称（盖章）：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rPr>
        <w:t>日 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bookmarkEnd w:id="342"/>
    <w:p>
      <w:pPr>
        <w:pStyle w:val="2"/>
        <w:numPr>
          <w:ilvl w:val="1"/>
          <w:numId w:val="0"/>
        </w:numPr>
        <w:jc w:val="center"/>
        <w:rPr>
          <w:rFonts w:hint="eastAsia" w:asciiTheme="minorEastAsia" w:hAnsiTheme="minorEastAsia" w:eastAsiaTheme="minorEastAsia" w:cstheme="minorEastAsia"/>
          <w:b/>
          <w:bCs/>
          <w:kern w:val="28"/>
          <w:sz w:val="32"/>
          <w:szCs w:val="32"/>
          <w:lang w:val="en-US" w:eastAsia="zh-CN" w:bidi="ar-SA"/>
        </w:rPr>
      </w:pPr>
      <w:bookmarkStart w:id="345" w:name="_Toc25618"/>
      <w:bookmarkStart w:id="346" w:name="_Toc27148167"/>
      <w:r>
        <w:rPr>
          <w:rFonts w:hint="eastAsia" w:asciiTheme="minorEastAsia" w:hAnsiTheme="minorEastAsia" w:eastAsiaTheme="minorEastAsia" w:cstheme="minorEastAsia"/>
          <w:b/>
          <w:bCs/>
          <w:kern w:val="28"/>
          <w:sz w:val="32"/>
          <w:szCs w:val="32"/>
          <w:lang w:val="en-US" w:eastAsia="zh-CN" w:bidi="ar-SA"/>
        </w:rPr>
        <w:t>十三、节能产品、环境标志产品明细表</w:t>
      </w:r>
      <w:bookmarkEnd w:id="345"/>
      <w:bookmarkEnd w:id="346"/>
    </w:p>
    <w:p>
      <w:pPr>
        <w:pStyle w:val="9"/>
        <w:ind w:firstLine="0"/>
        <w:jc w:val="center"/>
        <w:rPr>
          <w:rFonts w:hint="eastAsia" w:asciiTheme="minorEastAsia" w:hAnsiTheme="minorEastAsia" w:eastAsiaTheme="minorEastAsia" w:cstheme="minorEastAsia"/>
          <w:b/>
          <w:szCs w:val="24"/>
          <w:highlight w:val="lightGray"/>
        </w:rPr>
      </w:pPr>
      <w:r>
        <w:rPr>
          <w:rFonts w:hint="eastAsia" w:asciiTheme="minorEastAsia" w:hAnsiTheme="minorEastAsia" w:eastAsiaTheme="minorEastAsia" w:cstheme="minorEastAsia"/>
          <w:b/>
          <w:szCs w:val="24"/>
        </w:rPr>
        <w:t>节能产品明细表</w:t>
      </w:r>
    </w:p>
    <w:p>
      <w:pPr>
        <w:pStyle w:val="9"/>
        <w:spacing w:line="360" w:lineRule="auto"/>
        <w:ind w:firstLine="0"/>
        <w:rPr>
          <w:rFonts w:hint="eastAsia" w:asciiTheme="minorEastAsia" w:hAnsiTheme="minorEastAsia" w:eastAsiaTheme="minorEastAsia" w:cstheme="minorEastAsia"/>
          <w:szCs w:val="24"/>
        </w:rPr>
      </w:pPr>
    </w:p>
    <w:tbl>
      <w:tblPr>
        <w:tblStyle w:val="40"/>
        <w:tblW w:w="94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053"/>
        <w:gridCol w:w="1053"/>
        <w:gridCol w:w="1053"/>
        <w:gridCol w:w="1055"/>
        <w:gridCol w:w="1055"/>
        <w:gridCol w:w="1055"/>
        <w:gridCol w:w="105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trPr>
        <w:tc>
          <w:tcPr>
            <w:tcW w:w="1053"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序号</w:t>
            </w:r>
          </w:p>
        </w:tc>
        <w:tc>
          <w:tcPr>
            <w:tcW w:w="1053"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设备名称</w:t>
            </w:r>
          </w:p>
        </w:tc>
        <w:tc>
          <w:tcPr>
            <w:tcW w:w="1053"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型号</w:t>
            </w:r>
          </w:p>
        </w:tc>
        <w:tc>
          <w:tcPr>
            <w:tcW w:w="1053"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制造商名称</w:t>
            </w:r>
          </w:p>
        </w:tc>
        <w:tc>
          <w:tcPr>
            <w:tcW w:w="1055"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节字标志认证证书号</w:t>
            </w:r>
          </w:p>
        </w:tc>
        <w:tc>
          <w:tcPr>
            <w:tcW w:w="1055"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国家节能产品认证证书有效截止日期</w:t>
            </w:r>
          </w:p>
        </w:tc>
        <w:tc>
          <w:tcPr>
            <w:tcW w:w="1055"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数量</w:t>
            </w:r>
          </w:p>
        </w:tc>
        <w:tc>
          <w:tcPr>
            <w:tcW w:w="1055"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单价</w:t>
            </w:r>
          </w:p>
        </w:tc>
        <w:tc>
          <w:tcPr>
            <w:tcW w:w="1055"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3"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55"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bl>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法定代表人或被授权人（签字或盖章）：</w:t>
      </w:r>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供应商（盖章）：</w:t>
      </w:r>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p>
      <w:pPr>
        <w:tabs>
          <w:tab w:val="left" w:pos="840"/>
        </w:tabs>
        <w:autoSpaceDE w:val="0"/>
        <w:autoSpaceDN w:val="0"/>
        <w:adjustRightInd w:val="0"/>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 w:val="24"/>
        </w:rPr>
        <w:t>环境标志产品明细表</w:t>
      </w:r>
    </w:p>
    <w:tbl>
      <w:tblPr>
        <w:tblStyle w:val="40"/>
        <w:tblW w:w="96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7"/>
        <w:gridCol w:w="1077"/>
        <w:gridCol w:w="1077"/>
        <w:gridCol w:w="1078"/>
        <w:gridCol w:w="1078"/>
        <w:gridCol w:w="1078"/>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077"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序号</w:t>
            </w:r>
          </w:p>
        </w:tc>
        <w:tc>
          <w:tcPr>
            <w:tcW w:w="1077"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设备名称</w:t>
            </w:r>
          </w:p>
        </w:tc>
        <w:tc>
          <w:tcPr>
            <w:tcW w:w="107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型号</w:t>
            </w:r>
          </w:p>
        </w:tc>
        <w:tc>
          <w:tcPr>
            <w:tcW w:w="1077"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制造商名称</w:t>
            </w:r>
          </w:p>
        </w:tc>
        <w:tc>
          <w:tcPr>
            <w:tcW w:w="1078"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中国环境标志认证证书编号</w:t>
            </w:r>
          </w:p>
        </w:tc>
        <w:tc>
          <w:tcPr>
            <w:tcW w:w="10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认证证书有效</w:t>
            </w:r>
          </w:p>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截止日期</w:t>
            </w:r>
          </w:p>
        </w:tc>
        <w:tc>
          <w:tcPr>
            <w:tcW w:w="1078"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数量</w:t>
            </w:r>
          </w:p>
        </w:tc>
        <w:tc>
          <w:tcPr>
            <w:tcW w:w="1078"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单价</w:t>
            </w:r>
          </w:p>
        </w:tc>
        <w:tc>
          <w:tcPr>
            <w:tcW w:w="1078" w:type="dxa"/>
            <w:vAlign w:val="center"/>
          </w:tcPr>
          <w:p>
            <w:pPr>
              <w:adjustRightInd w:val="0"/>
              <w:snapToGrid w:val="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7"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c>
          <w:tcPr>
            <w:tcW w:w="1078" w:type="dxa"/>
          </w:tcPr>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tc>
      </w:tr>
    </w:tbl>
    <w:p>
      <w:pPr>
        <w:tabs>
          <w:tab w:val="left" w:pos="840"/>
        </w:tabs>
        <w:autoSpaceDE w:val="0"/>
        <w:autoSpaceDN w:val="0"/>
        <w:adjustRightInd w:val="0"/>
        <w:spacing w:line="360" w:lineRule="auto"/>
        <w:rPr>
          <w:rFonts w:hint="eastAsia" w:asciiTheme="minorEastAsia" w:hAnsiTheme="minorEastAsia" w:eastAsiaTheme="minorEastAsia" w:cstheme="minorEastAsia"/>
          <w:b/>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法定代表人或被授权人（签字或盖章）：</w:t>
      </w:r>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供应商（盖章）：</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p>
      <w:pPr>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bookmarkStart w:id="347" w:name="_Toc27148168"/>
    </w:p>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p>
    <w:p>
      <w:pPr>
        <w:pStyle w:val="2"/>
        <w:numPr>
          <w:ilvl w:val="1"/>
          <w:numId w:val="0"/>
        </w:numPr>
        <w:jc w:val="center"/>
        <w:rPr>
          <w:rFonts w:hint="eastAsia" w:asciiTheme="minorEastAsia" w:hAnsiTheme="minorEastAsia" w:eastAsiaTheme="minorEastAsia" w:cstheme="minorEastAsia"/>
          <w:b/>
          <w:bCs/>
          <w:kern w:val="28"/>
          <w:sz w:val="32"/>
          <w:szCs w:val="32"/>
          <w:lang w:val="en-US" w:eastAsia="zh-CN" w:bidi="ar-SA"/>
        </w:rPr>
      </w:pPr>
      <w:bookmarkStart w:id="348" w:name="_Toc576"/>
    </w:p>
    <w:p>
      <w:pPr>
        <w:pStyle w:val="2"/>
        <w:numPr>
          <w:ilvl w:val="1"/>
          <w:numId w:val="0"/>
        </w:numPr>
        <w:jc w:val="center"/>
        <w:rPr>
          <w:rFonts w:hint="eastAsia" w:asciiTheme="minorEastAsia" w:hAnsiTheme="minorEastAsia" w:eastAsiaTheme="minorEastAsia" w:cstheme="minorEastAsia"/>
          <w:b/>
          <w:bCs/>
          <w:kern w:val="28"/>
          <w:sz w:val="32"/>
          <w:szCs w:val="32"/>
          <w:lang w:val="en-US" w:eastAsia="zh-CN" w:bidi="ar-SA"/>
        </w:rPr>
      </w:pPr>
      <w:r>
        <w:rPr>
          <w:rFonts w:hint="eastAsia" w:asciiTheme="minorEastAsia" w:hAnsiTheme="minorEastAsia" w:eastAsiaTheme="minorEastAsia" w:cstheme="minorEastAsia"/>
          <w:b/>
          <w:bCs/>
          <w:kern w:val="28"/>
          <w:sz w:val="32"/>
          <w:szCs w:val="32"/>
          <w:lang w:val="en-US" w:eastAsia="zh-CN" w:bidi="ar-SA"/>
        </w:rPr>
        <w:t>十四、</w:t>
      </w:r>
      <w:bookmarkEnd w:id="309"/>
      <w:bookmarkEnd w:id="343"/>
      <w:bookmarkEnd w:id="344"/>
      <w:bookmarkStart w:id="349" w:name="_Toc20577"/>
      <w:bookmarkStart w:id="350" w:name="_Toc24035"/>
      <w:bookmarkStart w:id="351" w:name="_Toc1842"/>
      <w:bookmarkStart w:id="352" w:name="OLE_LINK2"/>
      <w:r>
        <w:rPr>
          <w:rFonts w:hint="eastAsia" w:asciiTheme="minorEastAsia" w:hAnsiTheme="minorEastAsia" w:eastAsiaTheme="minorEastAsia" w:cstheme="minorEastAsia"/>
          <w:b/>
          <w:bCs/>
          <w:kern w:val="28"/>
          <w:sz w:val="32"/>
          <w:szCs w:val="32"/>
          <w:lang w:val="en-US" w:eastAsia="zh-CN" w:bidi="ar-SA"/>
        </w:rPr>
        <w:t>供应商认为需要提供的其它</w:t>
      </w:r>
      <w:bookmarkEnd w:id="349"/>
      <w:r>
        <w:rPr>
          <w:rFonts w:hint="eastAsia" w:asciiTheme="minorEastAsia" w:hAnsiTheme="minorEastAsia" w:eastAsiaTheme="minorEastAsia" w:cstheme="minorEastAsia"/>
          <w:b/>
          <w:bCs/>
          <w:kern w:val="28"/>
          <w:sz w:val="32"/>
          <w:szCs w:val="32"/>
          <w:lang w:val="en-US" w:eastAsia="zh-CN" w:bidi="ar-SA"/>
        </w:rPr>
        <w:t>资料</w:t>
      </w:r>
      <w:bookmarkEnd w:id="347"/>
      <w:bookmarkEnd w:id="348"/>
      <w:bookmarkEnd w:id="350"/>
      <w:bookmarkEnd w:id="351"/>
    </w:p>
    <w:bookmarkEnd w:id="352"/>
    <w:p>
      <w:pPr>
        <w:spacing w:line="480" w:lineRule="exact"/>
        <w:ind w:firstLine="420"/>
        <w:rPr>
          <w:rFonts w:hint="eastAsia" w:asciiTheme="minorEastAsia" w:hAnsiTheme="minorEastAsia" w:eastAsiaTheme="minorEastAsia" w:cstheme="minorEastAsia"/>
          <w:kern w:val="0"/>
          <w:szCs w:val="21"/>
        </w:rPr>
      </w:pPr>
    </w:p>
    <w:p>
      <w:pPr>
        <w:spacing w:line="600" w:lineRule="exact"/>
        <w:ind w:firstLine="420"/>
        <w:rPr>
          <w:rFonts w:hint="eastAsia" w:asciiTheme="minorEastAsia" w:hAnsiTheme="minorEastAsia" w:eastAsiaTheme="minorEastAsia" w:cstheme="minorEastAsia"/>
          <w:kern w:val="0"/>
          <w:szCs w:val="21"/>
        </w:rPr>
      </w:pPr>
    </w:p>
    <w:p>
      <w:pPr>
        <w:pStyle w:val="9"/>
        <w:ind w:firstLine="0"/>
        <w:rPr>
          <w:rFonts w:hint="eastAsia" w:asciiTheme="minorEastAsia" w:hAnsiTheme="minorEastAsia" w:eastAsiaTheme="minorEastAsia" w:cstheme="minorEastAsia"/>
        </w:rPr>
      </w:pPr>
    </w:p>
    <w:p>
      <w:pPr>
        <w:pStyle w:val="9"/>
        <w:ind w:firstLine="0"/>
        <w:rPr>
          <w:rFonts w:hint="eastAsia" w:asciiTheme="minorEastAsia" w:hAnsiTheme="minorEastAsia" w:eastAsiaTheme="minorEastAsia" w:cstheme="minorEastAsia"/>
        </w:rPr>
      </w:pPr>
    </w:p>
    <w:sectPr>
      <w:footerReference r:id="rId5" w:type="default"/>
      <w:pgSz w:w="11906" w:h="16838"/>
      <w:pgMar w:top="1083" w:right="1083" w:bottom="1083" w:left="108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2030609000101010101"/>
    <w:charset w:val="81"/>
    <w:family w:val="auto"/>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20"/>
      <w:jc w:val="center"/>
    </w:pPr>
    <w:r>
      <w:fldChar w:fldCharType="begin"/>
    </w:r>
    <w:r>
      <w:instrText xml:space="preserve">PAGE   \* MERGEFORMAT</w:instrText>
    </w:r>
    <w:r>
      <w:fldChar w:fldCharType="separate"/>
    </w:r>
    <w:r>
      <w:t>30</w:t>
    </w:r>
    <w:r>
      <w:rPr>
        <w:lang w:val="zh-CN"/>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ByJQPCpAQAAQQMAAA4A&#10;AAAAAAAAAQAgAAAAHwEAAGRycy9lMm9Eb2MueG1sUEsFBgAAAAAGAAYAWQEAADo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rect id="文本框 9"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DGiqXepAQAAQQMAAA4A&#10;AAAAAAAAAQAgAAAAHwEAAGRycy9lMm9Eb2MueG1sUEsFBgAAAAAGAAYAWQEAADo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54</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7460F"/>
    <w:multiLevelType w:val="singleLevel"/>
    <w:tmpl w:val="E9A7460F"/>
    <w:lvl w:ilvl="0" w:tentative="0">
      <w:start w:val="1"/>
      <w:numFmt w:val="decimal"/>
      <w:suff w:val="nothing"/>
      <w:lvlText w:val="%1、"/>
      <w:lvlJc w:val="left"/>
    </w:lvl>
  </w:abstractNum>
  <w:abstractNum w:abstractNumId="1">
    <w:nsid w:val="00000002"/>
    <w:multiLevelType w:val="multilevel"/>
    <w:tmpl w:val="00000002"/>
    <w:lvl w:ilvl="0" w:tentative="0">
      <w:start w:val="1"/>
      <w:numFmt w:val="chineseCountingThousand"/>
      <w:pStyle w:val="3"/>
      <w:suff w:val="nothing"/>
      <w:lvlText w:val="第%1部分"/>
      <w:lvlJc w:val="center"/>
      <w:pPr>
        <w:ind w:left="1130" w:firstLine="288"/>
      </w:pPr>
      <w:rPr>
        <w:rFonts w:hint="eastAsia" w:cs="Times New Roman"/>
        <w:sz w:val="44"/>
        <w:szCs w:val="44"/>
      </w:rPr>
    </w:lvl>
    <w:lvl w:ilvl="1" w:tentative="0">
      <w:start w:val="1"/>
      <w:numFmt w:val="chineseCountingThousand"/>
      <w:pStyle w:val="2"/>
      <w:suff w:val="nothing"/>
      <w:lvlText w:val="%2、"/>
      <w:lvlJc w:val="left"/>
      <w:pPr>
        <w:ind w:left="3" w:firstLine="177"/>
      </w:pPr>
      <w:rPr>
        <w:rFonts w:cs="Times New Roman"/>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2">
    <w:nsid w:val="00000004"/>
    <w:multiLevelType w:val="multilevel"/>
    <w:tmpl w:val="00000004"/>
    <w:lvl w:ilvl="0" w:tentative="0">
      <w:start w:val="1"/>
      <w:numFmt w:val="chineseCountingThousand"/>
      <w:suff w:val="nothing"/>
      <w:lvlText w:val="第%1部分"/>
      <w:lvlJc w:val="center"/>
      <w:pPr>
        <w:ind w:firstLine="288"/>
      </w:pPr>
      <w:rPr>
        <w:rFonts w:hint="eastAsia" w:cs="Times New Roman"/>
        <w:sz w:val="28"/>
      </w:rPr>
    </w:lvl>
    <w:lvl w:ilvl="1" w:tentative="0">
      <w:start w:val="1"/>
      <w:numFmt w:val="chineseCountingThousand"/>
      <w:pStyle w:val="57"/>
      <w:suff w:val="nothing"/>
      <w:lvlText w:val="%2、"/>
      <w:lvlJc w:val="left"/>
      <w:pPr>
        <w:ind w:left="210" w:firstLine="510"/>
      </w:pPr>
      <w:rPr>
        <w:rFonts w:hint="eastAsia" w:ascii="宋体" w:hAnsi="宋体" w:eastAsia="宋体" w:cs="Times New Roman"/>
        <w:sz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3">
    <w:nsid w:val="00000018"/>
    <w:multiLevelType w:val="singleLevel"/>
    <w:tmpl w:val="00000018"/>
    <w:lvl w:ilvl="0" w:tentative="0">
      <w:start w:val="1"/>
      <w:numFmt w:val="decimal"/>
      <w:suff w:val="nothing"/>
      <w:lvlText w:val="（%1）"/>
      <w:lvlJc w:val="left"/>
      <w:rPr>
        <w:rFonts w:cs="Times New Roman"/>
      </w:rPr>
    </w:lvl>
  </w:abstractNum>
  <w:abstractNum w:abstractNumId="4">
    <w:nsid w:val="079A4F6F"/>
    <w:multiLevelType w:val="singleLevel"/>
    <w:tmpl w:val="079A4F6F"/>
    <w:lvl w:ilvl="0" w:tentative="0">
      <w:start w:val="2"/>
      <w:numFmt w:val="decimal"/>
      <w:suff w:val="nothing"/>
      <w:lvlText w:val="（%1）"/>
      <w:lvlJc w:val="left"/>
      <w:rPr>
        <w:rFonts w:cs="Times New Roman"/>
      </w:rPr>
    </w:lvl>
  </w:abstractNum>
  <w:abstractNum w:abstractNumId="5">
    <w:nsid w:val="0B943741"/>
    <w:multiLevelType w:val="singleLevel"/>
    <w:tmpl w:val="0B943741"/>
    <w:lvl w:ilvl="0" w:tentative="0">
      <w:start w:val="2"/>
      <w:numFmt w:val="decimal"/>
      <w:lvlText w:val="%1."/>
      <w:lvlJc w:val="left"/>
      <w:pPr>
        <w:tabs>
          <w:tab w:val="left" w:pos="312"/>
        </w:tabs>
      </w:pPr>
    </w:lvl>
  </w:abstractNum>
  <w:abstractNum w:abstractNumId="6">
    <w:nsid w:val="2791211A"/>
    <w:multiLevelType w:val="singleLevel"/>
    <w:tmpl w:val="2791211A"/>
    <w:lvl w:ilvl="0" w:tentative="0">
      <w:start w:val="1"/>
      <w:numFmt w:val="decimal"/>
      <w:suff w:val="nothing"/>
      <w:lvlText w:val="%1、"/>
      <w:lvlJc w:val="left"/>
    </w:lvl>
  </w:abstractNum>
  <w:abstractNum w:abstractNumId="7">
    <w:nsid w:val="55739F65"/>
    <w:multiLevelType w:val="singleLevel"/>
    <w:tmpl w:val="55739F65"/>
    <w:lvl w:ilvl="0" w:tentative="0">
      <w:start w:val="4"/>
      <w:numFmt w:val="decimal"/>
      <w:suff w:val="nothing"/>
      <w:lvlText w:val="%1."/>
      <w:lvlJc w:val="left"/>
      <w:rPr>
        <w:rFonts w:cs="Times New Roman"/>
      </w:rPr>
    </w:lvl>
  </w:abstractNum>
  <w:abstractNum w:abstractNumId="8">
    <w:nsid w:val="5573A032"/>
    <w:multiLevelType w:val="singleLevel"/>
    <w:tmpl w:val="5573A032"/>
    <w:lvl w:ilvl="0" w:tentative="0">
      <w:start w:val="1"/>
      <w:numFmt w:val="decimal"/>
      <w:suff w:val="nothing"/>
      <w:lvlText w:val="（%1）"/>
      <w:lvlJc w:val="left"/>
      <w:rPr>
        <w:rFonts w:cs="Times New Roman"/>
      </w:rPr>
    </w:lvl>
  </w:abstractNum>
  <w:abstractNum w:abstractNumId="9">
    <w:nsid w:val="58EF15E5"/>
    <w:multiLevelType w:val="multilevel"/>
    <w:tmpl w:val="58EF15E5"/>
    <w:lvl w:ilvl="0" w:tentative="0">
      <w:start w:val="1"/>
      <w:numFmt w:val="decimal"/>
      <w:lvlText w:val="%1"/>
      <w:lvlJc w:val="left"/>
      <w:pPr>
        <w:ind w:left="1000" w:hanging="432"/>
      </w:pPr>
      <w:rPr>
        <w:rFonts w:cs="Times New Roman"/>
      </w:rPr>
    </w:lvl>
    <w:lvl w:ilvl="1" w:tentative="0">
      <w:start w:val="1"/>
      <w:numFmt w:val="decimal"/>
      <w:lvlText w:val="%1.%2"/>
      <w:lvlJc w:val="left"/>
      <w:pPr>
        <w:ind w:left="1144" w:hanging="576"/>
      </w:pPr>
      <w:rPr>
        <w:rFonts w:cs="Times New Roman"/>
      </w:rPr>
    </w:lvl>
    <w:lvl w:ilvl="2" w:tentative="0">
      <w:start w:val="1"/>
      <w:numFmt w:val="decimal"/>
      <w:pStyle w:val="4"/>
      <w:lvlText w:val="%1.%2.%3"/>
      <w:lvlJc w:val="left"/>
      <w:pPr>
        <w:ind w:left="1288" w:hanging="720"/>
      </w:pPr>
      <w:rPr>
        <w:rFonts w:cs="Times New Roman"/>
      </w:rPr>
    </w:lvl>
    <w:lvl w:ilvl="3" w:tentative="0">
      <w:start w:val="1"/>
      <w:numFmt w:val="decimal"/>
      <w:lvlText w:val="%1.%2.%3.%4"/>
      <w:lvlJc w:val="left"/>
      <w:pPr>
        <w:ind w:left="1432" w:hanging="864"/>
      </w:pPr>
      <w:rPr>
        <w:rFonts w:cs="Times New Roman"/>
      </w:rPr>
    </w:lvl>
    <w:lvl w:ilvl="4" w:tentative="0">
      <w:start w:val="1"/>
      <w:numFmt w:val="decimal"/>
      <w:lvlText w:val="%1.%2.%3.%4.%5"/>
      <w:lvlJc w:val="left"/>
      <w:pPr>
        <w:ind w:left="1576" w:hanging="1008"/>
      </w:pPr>
      <w:rPr>
        <w:rFonts w:cs="Times New Roman"/>
      </w:rPr>
    </w:lvl>
    <w:lvl w:ilvl="5" w:tentative="0">
      <w:start w:val="1"/>
      <w:numFmt w:val="decimal"/>
      <w:lvlText w:val="%1.%2.%3.%4.%5.%6"/>
      <w:lvlJc w:val="left"/>
      <w:pPr>
        <w:ind w:left="1720" w:hanging="1152"/>
      </w:pPr>
      <w:rPr>
        <w:rFonts w:cs="Times New Roman"/>
      </w:rPr>
    </w:lvl>
    <w:lvl w:ilvl="6" w:tentative="0">
      <w:start w:val="1"/>
      <w:numFmt w:val="decimal"/>
      <w:lvlText w:val="%1.%2.%3.%4.%5.%6.%7"/>
      <w:lvlJc w:val="left"/>
      <w:pPr>
        <w:ind w:left="1864" w:hanging="1296"/>
      </w:pPr>
      <w:rPr>
        <w:rFonts w:cs="Times New Roman"/>
      </w:rPr>
    </w:lvl>
    <w:lvl w:ilvl="7" w:tentative="0">
      <w:start w:val="1"/>
      <w:numFmt w:val="decimal"/>
      <w:lvlText w:val="%1.%2.%3.%4.%5.%6.%7.%8"/>
      <w:lvlJc w:val="left"/>
      <w:pPr>
        <w:ind w:left="2008" w:hanging="1440"/>
      </w:pPr>
      <w:rPr>
        <w:rFonts w:cs="Times New Roman"/>
      </w:rPr>
    </w:lvl>
    <w:lvl w:ilvl="8" w:tentative="0">
      <w:start w:val="1"/>
      <w:numFmt w:val="decimal"/>
      <w:lvlText w:val="%1.%2.%3.%4.%5.%6.%7.%8.%9"/>
      <w:lvlJc w:val="left"/>
      <w:pPr>
        <w:ind w:left="2152" w:hanging="1584"/>
      </w:pPr>
      <w:rPr>
        <w:rFonts w:cs="Times New Roman"/>
      </w:rPr>
    </w:lvl>
  </w:abstractNum>
  <w:abstractNum w:abstractNumId="10">
    <w:nsid w:val="622F6C19"/>
    <w:multiLevelType w:val="singleLevel"/>
    <w:tmpl w:val="622F6C19"/>
    <w:lvl w:ilvl="0" w:tentative="0">
      <w:start w:val="1"/>
      <w:numFmt w:val="decimal"/>
      <w:suff w:val="nothing"/>
      <w:lvlText w:val="%1、"/>
      <w:lvlJc w:val="left"/>
    </w:lvl>
  </w:abstractNum>
  <w:abstractNum w:abstractNumId="11">
    <w:nsid w:val="67E3031B"/>
    <w:multiLevelType w:val="singleLevel"/>
    <w:tmpl w:val="67E3031B"/>
    <w:lvl w:ilvl="0" w:tentative="0">
      <w:start w:val="1"/>
      <w:numFmt w:val="decimal"/>
      <w:suff w:val="space"/>
      <w:lvlText w:val="%1."/>
      <w:lvlJc w:val="left"/>
      <w:pPr>
        <w:ind w:left="600" w:leftChars="0" w:firstLine="0" w:firstLineChars="0"/>
      </w:pPr>
    </w:lvl>
  </w:abstractNum>
  <w:abstractNum w:abstractNumId="12">
    <w:nsid w:val="74E55976"/>
    <w:multiLevelType w:val="singleLevel"/>
    <w:tmpl w:val="74E55976"/>
    <w:lvl w:ilvl="0" w:tentative="0">
      <w:start w:val="1"/>
      <w:numFmt w:val="decimal"/>
      <w:suff w:val="nothing"/>
      <w:lvlText w:val="%1、"/>
      <w:lvlJc w:val="left"/>
    </w:lvl>
  </w:abstractNum>
  <w:num w:numId="1">
    <w:abstractNumId w:val="1"/>
  </w:num>
  <w:num w:numId="2">
    <w:abstractNumId w:val="9"/>
  </w:num>
  <w:num w:numId="3">
    <w:abstractNumId w:val="2"/>
  </w:num>
  <w:num w:numId="4">
    <w:abstractNumId w:val="5"/>
  </w:num>
  <w:num w:numId="5">
    <w:abstractNumId w:val="4"/>
  </w:num>
  <w:num w:numId="6">
    <w:abstractNumId w:val="3"/>
  </w:num>
  <w:num w:numId="7">
    <w:abstractNumId w:val="7"/>
  </w:num>
  <w:num w:numId="8">
    <w:abstractNumId w:val="8"/>
  </w:num>
  <w:num w:numId="9">
    <w:abstractNumId w:val="10"/>
  </w:num>
  <w:num w:numId="10">
    <w:abstractNumId w:val="6"/>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42"/>
    <w:rsid w:val="00017D78"/>
    <w:rsid w:val="000947CC"/>
    <w:rsid w:val="001E37A4"/>
    <w:rsid w:val="00224496"/>
    <w:rsid w:val="002569C7"/>
    <w:rsid w:val="00265F89"/>
    <w:rsid w:val="003B56BA"/>
    <w:rsid w:val="004112B3"/>
    <w:rsid w:val="0045754D"/>
    <w:rsid w:val="00494E40"/>
    <w:rsid w:val="006759D8"/>
    <w:rsid w:val="006B16CB"/>
    <w:rsid w:val="007346F0"/>
    <w:rsid w:val="00735542"/>
    <w:rsid w:val="008E60AD"/>
    <w:rsid w:val="00A5343E"/>
    <w:rsid w:val="00AF3200"/>
    <w:rsid w:val="00BD5F97"/>
    <w:rsid w:val="00C97F09"/>
    <w:rsid w:val="00EA768C"/>
    <w:rsid w:val="00F5352E"/>
    <w:rsid w:val="00F94855"/>
    <w:rsid w:val="00FA363C"/>
    <w:rsid w:val="01702A8D"/>
    <w:rsid w:val="01F414B4"/>
    <w:rsid w:val="02A75A2F"/>
    <w:rsid w:val="02DD7B41"/>
    <w:rsid w:val="04244039"/>
    <w:rsid w:val="044871E4"/>
    <w:rsid w:val="04993223"/>
    <w:rsid w:val="04B8788A"/>
    <w:rsid w:val="060264BF"/>
    <w:rsid w:val="065214AD"/>
    <w:rsid w:val="06654918"/>
    <w:rsid w:val="06A12A54"/>
    <w:rsid w:val="07022EBF"/>
    <w:rsid w:val="07BE4F65"/>
    <w:rsid w:val="0938791F"/>
    <w:rsid w:val="09E509CE"/>
    <w:rsid w:val="09FE436B"/>
    <w:rsid w:val="0B2505E5"/>
    <w:rsid w:val="0D6F3B62"/>
    <w:rsid w:val="0E974FD3"/>
    <w:rsid w:val="0EB02100"/>
    <w:rsid w:val="10F51E0C"/>
    <w:rsid w:val="12031EF8"/>
    <w:rsid w:val="15065304"/>
    <w:rsid w:val="153A7DDC"/>
    <w:rsid w:val="160E0071"/>
    <w:rsid w:val="1675233D"/>
    <w:rsid w:val="169621D0"/>
    <w:rsid w:val="16A47A44"/>
    <w:rsid w:val="18F23E95"/>
    <w:rsid w:val="192666FE"/>
    <w:rsid w:val="19A66C03"/>
    <w:rsid w:val="19FE6B23"/>
    <w:rsid w:val="1ACC5240"/>
    <w:rsid w:val="1B553395"/>
    <w:rsid w:val="1BC711A3"/>
    <w:rsid w:val="1D386F22"/>
    <w:rsid w:val="1D757887"/>
    <w:rsid w:val="1E2620D9"/>
    <w:rsid w:val="1E566507"/>
    <w:rsid w:val="1E916985"/>
    <w:rsid w:val="1E9E4A33"/>
    <w:rsid w:val="1EE60D9D"/>
    <w:rsid w:val="20447FAB"/>
    <w:rsid w:val="22FF49E6"/>
    <w:rsid w:val="25305F4F"/>
    <w:rsid w:val="254846BF"/>
    <w:rsid w:val="25531020"/>
    <w:rsid w:val="258A1E16"/>
    <w:rsid w:val="25B03293"/>
    <w:rsid w:val="261A19E4"/>
    <w:rsid w:val="277D4AD4"/>
    <w:rsid w:val="2791596D"/>
    <w:rsid w:val="299E0F7B"/>
    <w:rsid w:val="2A2C5FC9"/>
    <w:rsid w:val="2A9B53EF"/>
    <w:rsid w:val="2B6E0F9C"/>
    <w:rsid w:val="2B750858"/>
    <w:rsid w:val="2BE27552"/>
    <w:rsid w:val="2DAE239C"/>
    <w:rsid w:val="2E111FD6"/>
    <w:rsid w:val="2F007B46"/>
    <w:rsid w:val="2F494597"/>
    <w:rsid w:val="30B238F3"/>
    <w:rsid w:val="3198185E"/>
    <w:rsid w:val="31AB56DB"/>
    <w:rsid w:val="31D21934"/>
    <w:rsid w:val="31DC7F67"/>
    <w:rsid w:val="328A2DE4"/>
    <w:rsid w:val="332F265E"/>
    <w:rsid w:val="334D1F98"/>
    <w:rsid w:val="338162AC"/>
    <w:rsid w:val="33E1355C"/>
    <w:rsid w:val="33EA131F"/>
    <w:rsid w:val="348C1B57"/>
    <w:rsid w:val="34A075E7"/>
    <w:rsid w:val="34F53AF5"/>
    <w:rsid w:val="36684796"/>
    <w:rsid w:val="36CC403B"/>
    <w:rsid w:val="36CF2874"/>
    <w:rsid w:val="37D0261B"/>
    <w:rsid w:val="39102AD3"/>
    <w:rsid w:val="39110DBC"/>
    <w:rsid w:val="391379DC"/>
    <w:rsid w:val="39A2321F"/>
    <w:rsid w:val="3D2A0528"/>
    <w:rsid w:val="3D5808D6"/>
    <w:rsid w:val="3E7454DC"/>
    <w:rsid w:val="3EB56530"/>
    <w:rsid w:val="3F3C365F"/>
    <w:rsid w:val="40F12F6E"/>
    <w:rsid w:val="410E0BF8"/>
    <w:rsid w:val="42F65AF6"/>
    <w:rsid w:val="43DD15D6"/>
    <w:rsid w:val="444B479C"/>
    <w:rsid w:val="4547283B"/>
    <w:rsid w:val="457D1874"/>
    <w:rsid w:val="4648457E"/>
    <w:rsid w:val="464B22AE"/>
    <w:rsid w:val="467D25DC"/>
    <w:rsid w:val="48303DC8"/>
    <w:rsid w:val="485769AA"/>
    <w:rsid w:val="48577EE9"/>
    <w:rsid w:val="493C469C"/>
    <w:rsid w:val="4B717F1F"/>
    <w:rsid w:val="4BB56F0A"/>
    <w:rsid w:val="4BC45F08"/>
    <w:rsid w:val="4D395F3B"/>
    <w:rsid w:val="4DCA58F0"/>
    <w:rsid w:val="4DFD27AC"/>
    <w:rsid w:val="4FE3680F"/>
    <w:rsid w:val="511F5C12"/>
    <w:rsid w:val="51383370"/>
    <w:rsid w:val="518A6C43"/>
    <w:rsid w:val="520D5AEF"/>
    <w:rsid w:val="527B40E2"/>
    <w:rsid w:val="52F06D46"/>
    <w:rsid w:val="5349025B"/>
    <w:rsid w:val="54E824D1"/>
    <w:rsid w:val="551A4BBE"/>
    <w:rsid w:val="552228A5"/>
    <w:rsid w:val="55351818"/>
    <w:rsid w:val="56287714"/>
    <w:rsid w:val="56C82DF2"/>
    <w:rsid w:val="58211B30"/>
    <w:rsid w:val="5A646D94"/>
    <w:rsid w:val="5AEE442F"/>
    <w:rsid w:val="5B017FEF"/>
    <w:rsid w:val="5B28127D"/>
    <w:rsid w:val="5B936019"/>
    <w:rsid w:val="5D540B4D"/>
    <w:rsid w:val="5E1338D3"/>
    <w:rsid w:val="5E805F98"/>
    <w:rsid w:val="5EC91838"/>
    <w:rsid w:val="5F235C6A"/>
    <w:rsid w:val="5FEB0DF2"/>
    <w:rsid w:val="60F2538D"/>
    <w:rsid w:val="611A395A"/>
    <w:rsid w:val="61582159"/>
    <w:rsid w:val="619B7485"/>
    <w:rsid w:val="638C19DA"/>
    <w:rsid w:val="63BE03FF"/>
    <w:rsid w:val="64680542"/>
    <w:rsid w:val="64BF33E4"/>
    <w:rsid w:val="65D82874"/>
    <w:rsid w:val="66091164"/>
    <w:rsid w:val="68876F53"/>
    <w:rsid w:val="68CA03A3"/>
    <w:rsid w:val="69F02961"/>
    <w:rsid w:val="6BA14B18"/>
    <w:rsid w:val="6BAA5889"/>
    <w:rsid w:val="6E6878FE"/>
    <w:rsid w:val="6EAF7D18"/>
    <w:rsid w:val="6F064D22"/>
    <w:rsid w:val="70BE6EC7"/>
    <w:rsid w:val="70F4034C"/>
    <w:rsid w:val="73B72CB4"/>
    <w:rsid w:val="73D716AD"/>
    <w:rsid w:val="74516A95"/>
    <w:rsid w:val="747B3F1E"/>
    <w:rsid w:val="753C2F6B"/>
    <w:rsid w:val="75C06669"/>
    <w:rsid w:val="75E23A1F"/>
    <w:rsid w:val="75FF4796"/>
    <w:rsid w:val="76517859"/>
    <w:rsid w:val="7664669B"/>
    <w:rsid w:val="772C1EE4"/>
    <w:rsid w:val="785E3F07"/>
    <w:rsid w:val="785E62A2"/>
    <w:rsid w:val="7A262707"/>
    <w:rsid w:val="7B21669D"/>
    <w:rsid w:val="7B2225F7"/>
    <w:rsid w:val="7B4B7A5B"/>
    <w:rsid w:val="7C6D1529"/>
    <w:rsid w:val="7CFA0FB9"/>
    <w:rsid w:val="7D730C8E"/>
    <w:rsid w:val="7DBB40FB"/>
    <w:rsid w:val="7E331022"/>
    <w:rsid w:val="7F385D04"/>
    <w:rsid w:val="7FDD6A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nhideWhenUsed="0" w:uiPriority="99" w:semiHidden="0" w:name="heading 6" w:locked="1"/>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9"/>
    <w:qFormat/>
    <w:uiPriority w:val="99"/>
    <w:pPr>
      <w:keepNext/>
      <w:keepLines/>
      <w:numPr>
        <w:ilvl w:val="0"/>
        <w:numId w:val="1"/>
      </w:numPr>
      <w:spacing w:before="340" w:after="330" w:line="578" w:lineRule="atLeast"/>
      <w:outlineLvl w:val="0"/>
    </w:pPr>
    <w:rPr>
      <w:b/>
      <w:kern w:val="44"/>
      <w:sz w:val="44"/>
    </w:rPr>
  </w:style>
  <w:style w:type="paragraph" w:styleId="2">
    <w:name w:val="heading 2"/>
    <w:basedOn w:val="1"/>
    <w:next w:val="1"/>
    <w:link w:val="70"/>
    <w:qFormat/>
    <w:uiPriority w:val="99"/>
    <w:pPr>
      <w:keepNext/>
      <w:keepLines/>
      <w:numPr>
        <w:ilvl w:val="1"/>
        <w:numId w:val="1"/>
      </w:numPr>
      <w:spacing w:before="260" w:after="260" w:line="416" w:lineRule="atLeast"/>
      <w:outlineLvl w:val="1"/>
    </w:pPr>
    <w:rPr>
      <w:rFonts w:ascii="Arial" w:hAnsi="Arial" w:eastAsia="黑体"/>
      <w:b/>
      <w:kern w:val="0"/>
      <w:sz w:val="32"/>
    </w:rPr>
  </w:style>
  <w:style w:type="paragraph" w:styleId="4">
    <w:name w:val="heading 3"/>
    <w:basedOn w:val="1"/>
    <w:next w:val="1"/>
    <w:link w:val="71"/>
    <w:qFormat/>
    <w:uiPriority w:val="99"/>
    <w:pPr>
      <w:keepNext/>
      <w:keepLines/>
      <w:numPr>
        <w:ilvl w:val="2"/>
        <w:numId w:val="2"/>
      </w:numPr>
      <w:spacing w:before="240" w:after="120" w:line="360" w:lineRule="auto"/>
      <w:ind w:left="1287"/>
      <w:outlineLvl w:val="2"/>
    </w:pPr>
    <w:rPr>
      <w:b/>
      <w:kern w:val="0"/>
      <w:sz w:val="32"/>
    </w:rPr>
  </w:style>
  <w:style w:type="paragraph" w:styleId="5">
    <w:name w:val="heading 4"/>
    <w:basedOn w:val="1"/>
    <w:next w:val="1"/>
    <w:link w:val="100"/>
    <w:unhideWhenUsed/>
    <w:qFormat/>
    <w:uiPriority w:val="9"/>
    <w:pPr>
      <w:keepNext/>
      <w:keepLines/>
      <w:spacing w:before="280" w:after="290" w:line="376" w:lineRule="auto"/>
      <w:outlineLvl w:val="3"/>
    </w:pPr>
    <w:rPr>
      <w:rFonts w:ascii="Cambria" w:hAnsi="Cambria"/>
      <w:b/>
      <w:bCs/>
      <w:kern w:val="0"/>
      <w:sz w:val="28"/>
      <w:szCs w:val="28"/>
    </w:rPr>
  </w:style>
  <w:style w:type="paragraph" w:styleId="6">
    <w:name w:val="heading 6"/>
    <w:basedOn w:val="1"/>
    <w:next w:val="1"/>
    <w:link w:val="72"/>
    <w:qFormat/>
    <w:locked/>
    <w:uiPriority w:val="99"/>
    <w:pPr>
      <w:keepNext/>
      <w:keepLines/>
      <w:spacing w:before="240" w:after="64" w:line="320" w:lineRule="auto"/>
      <w:outlineLvl w:val="5"/>
    </w:pPr>
    <w:rPr>
      <w:rFonts w:ascii="Cambria" w:hAnsi="Cambria"/>
      <w:b/>
      <w:bCs/>
      <w:kern w:val="0"/>
      <w:sz w:val="24"/>
      <w:szCs w:val="24"/>
    </w:rPr>
  </w:style>
  <w:style w:type="character" w:default="1" w:styleId="28">
    <w:name w:val="Default Paragraph Font"/>
    <w:unhideWhenUsed/>
    <w:qFormat/>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74"/>
    <w:qFormat/>
    <w:uiPriority w:val="99"/>
    <w:rPr>
      <w:b/>
    </w:rPr>
  </w:style>
  <w:style w:type="paragraph" w:styleId="8">
    <w:name w:val="annotation text"/>
    <w:basedOn w:val="1"/>
    <w:link w:val="73"/>
    <w:qFormat/>
    <w:uiPriority w:val="99"/>
    <w:pPr>
      <w:jc w:val="left"/>
    </w:pPr>
  </w:style>
  <w:style w:type="paragraph" w:styleId="9">
    <w:name w:val="Normal Indent"/>
    <w:basedOn w:val="1"/>
    <w:qFormat/>
    <w:uiPriority w:val="99"/>
    <w:pPr>
      <w:adjustRightInd w:val="0"/>
      <w:spacing w:line="360" w:lineRule="atLeast"/>
      <w:ind w:firstLine="420"/>
      <w:jc w:val="left"/>
      <w:textAlignment w:val="baseline"/>
    </w:pPr>
    <w:rPr>
      <w:kern w:val="0"/>
      <w:sz w:val="24"/>
    </w:rPr>
  </w:style>
  <w:style w:type="paragraph" w:styleId="10">
    <w:name w:val="Document Map"/>
    <w:basedOn w:val="1"/>
    <w:link w:val="75"/>
    <w:qFormat/>
    <w:uiPriority w:val="99"/>
    <w:rPr>
      <w:rFonts w:ascii="宋体"/>
      <w:sz w:val="18"/>
    </w:rPr>
  </w:style>
  <w:style w:type="paragraph" w:styleId="11">
    <w:name w:val="Body Text 3"/>
    <w:basedOn w:val="1"/>
    <w:link w:val="76"/>
    <w:qFormat/>
    <w:uiPriority w:val="99"/>
    <w:pPr>
      <w:spacing w:after="120"/>
    </w:pPr>
    <w:rPr>
      <w:sz w:val="16"/>
      <w:szCs w:val="16"/>
    </w:rPr>
  </w:style>
  <w:style w:type="paragraph" w:styleId="12">
    <w:name w:val="Body Text"/>
    <w:basedOn w:val="1"/>
    <w:next w:val="13"/>
    <w:qFormat/>
    <w:uiPriority w:val="0"/>
    <w:pPr>
      <w:spacing w:after="120"/>
    </w:pPr>
  </w:style>
  <w:style w:type="paragraph" w:styleId="13">
    <w:name w:val="Body Text 2"/>
    <w:basedOn w:val="1"/>
    <w:link w:val="85"/>
    <w:qFormat/>
    <w:uiPriority w:val="99"/>
    <w:pPr>
      <w:spacing w:after="120" w:line="480" w:lineRule="auto"/>
    </w:pPr>
    <w:rPr>
      <w:kern w:val="0"/>
      <w:sz w:val="20"/>
    </w:rPr>
  </w:style>
  <w:style w:type="paragraph" w:styleId="14">
    <w:name w:val="Body Text Indent"/>
    <w:basedOn w:val="1"/>
    <w:link w:val="77"/>
    <w:qFormat/>
    <w:uiPriority w:val="99"/>
    <w:pPr>
      <w:spacing w:after="120"/>
      <w:ind w:left="420" w:leftChars="200"/>
    </w:pPr>
    <w:rPr>
      <w:kern w:val="0"/>
      <w:sz w:val="20"/>
    </w:rPr>
  </w:style>
  <w:style w:type="paragraph" w:styleId="15">
    <w:name w:val="List 2"/>
    <w:basedOn w:val="1"/>
    <w:qFormat/>
    <w:uiPriority w:val="99"/>
    <w:pPr>
      <w:ind w:left="100" w:leftChars="200" w:hanging="200" w:hangingChars="200"/>
    </w:pPr>
  </w:style>
  <w:style w:type="paragraph" w:styleId="16">
    <w:name w:val="toc 3"/>
    <w:basedOn w:val="1"/>
    <w:next w:val="1"/>
    <w:qFormat/>
    <w:uiPriority w:val="99"/>
    <w:pPr>
      <w:ind w:left="840" w:leftChars="400"/>
    </w:pPr>
  </w:style>
  <w:style w:type="paragraph" w:styleId="17">
    <w:name w:val="Plain Text"/>
    <w:basedOn w:val="1"/>
    <w:link w:val="78"/>
    <w:qFormat/>
    <w:uiPriority w:val="0"/>
    <w:rPr>
      <w:rFonts w:ascii="宋体" w:hAnsi="Courier New"/>
      <w:kern w:val="0"/>
      <w:szCs w:val="21"/>
    </w:rPr>
  </w:style>
  <w:style w:type="paragraph" w:styleId="18">
    <w:name w:val="Date"/>
    <w:basedOn w:val="1"/>
    <w:next w:val="1"/>
    <w:link w:val="79"/>
    <w:qFormat/>
    <w:uiPriority w:val="99"/>
    <w:pPr>
      <w:adjustRightInd w:val="0"/>
      <w:spacing w:line="360" w:lineRule="atLeast"/>
      <w:textAlignment w:val="baseline"/>
    </w:pPr>
    <w:rPr>
      <w:kern w:val="0"/>
      <w:sz w:val="20"/>
    </w:rPr>
  </w:style>
  <w:style w:type="paragraph" w:styleId="19">
    <w:name w:val="Body Text Indent 2"/>
    <w:basedOn w:val="1"/>
    <w:link w:val="80"/>
    <w:qFormat/>
    <w:uiPriority w:val="99"/>
    <w:pPr>
      <w:spacing w:after="120" w:line="480" w:lineRule="auto"/>
      <w:ind w:left="420" w:leftChars="200"/>
    </w:pPr>
    <w:rPr>
      <w:kern w:val="0"/>
      <w:sz w:val="20"/>
    </w:rPr>
  </w:style>
  <w:style w:type="paragraph" w:styleId="20">
    <w:name w:val="Balloon Text"/>
    <w:basedOn w:val="1"/>
    <w:link w:val="87"/>
    <w:qFormat/>
    <w:uiPriority w:val="99"/>
    <w:rPr>
      <w:sz w:val="18"/>
      <w:szCs w:val="18"/>
    </w:rPr>
  </w:style>
  <w:style w:type="paragraph" w:styleId="21">
    <w:name w:val="footer"/>
    <w:basedOn w:val="1"/>
    <w:link w:val="98"/>
    <w:qFormat/>
    <w:uiPriority w:val="99"/>
    <w:pPr>
      <w:tabs>
        <w:tab w:val="center" w:pos="4153"/>
        <w:tab w:val="right" w:pos="8306"/>
      </w:tabs>
      <w:snapToGrid w:val="0"/>
      <w:jc w:val="left"/>
    </w:pPr>
    <w:rPr>
      <w:sz w:val="18"/>
    </w:rPr>
  </w:style>
  <w:style w:type="paragraph" w:styleId="22">
    <w:name w:val="header"/>
    <w:basedOn w:val="1"/>
    <w:link w:val="8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99"/>
  </w:style>
  <w:style w:type="paragraph" w:styleId="24">
    <w:name w:val="Subtitle"/>
    <w:basedOn w:val="1"/>
    <w:next w:val="1"/>
    <w:link w:val="84"/>
    <w:qFormat/>
    <w:uiPriority w:val="99"/>
    <w:pPr>
      <w:spacing w:before="240" w:after="60" w:line="312" w:lineRule="auto"/>
      <w:jc w:val="center"/>
      <w:outlineLvl w:val="1"/>
    </w:pPr>
    <w:rPr>
      <w:rFonts w:ascii="Cambria" w:hAnsi="Cambria"/>
      <w:b/>
      <w:bCs/>
      <w:kern w:val="28"/>
      <w:sz w:val="32"/>
      <w:szCs w:val="32"/>
    </w:rPr>
  </w:style>
  <w:style w:type="paragraph" w:styleId="25">
    <w:name w:val="toc 2"/>
    <w:basedOn w:val="1"/>
    <w:next w:val="1"/>
    <w:qFormat/>
    <w:uiPriority w:val="99"/>
    <w:pPr>
      <w:ind w:left="420" w:leftChars="200"/>
    </w:p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86"/>
    <w:qFormat/>
    <w:uiPriority w:val="99"/>
    <w:pPr>
      <w:spacing w:before="240" w:after="60"/>
      <w:jc w:val="center"/>
      <w:outlineLvl w:val="0"/>
    </w:pPr>
    <w:rPr>
      <w:rFonts w:ascii="Cambria" w:hAnsi="Cambria"/>
      <w:b/>
      <w:sz w:val="32"/>
    </w:rPr>
  </w:style>
  <w:style w:type="character" w:styleId="29">
    <w:name w:val="Strong"/>
    <w:qFormat/>
    <w:uiPriority w:val="99"/>
    <w:rPr>
      <w:rFonts w:cs="Times New Roman"/>
      <w:b/>
    </w:rPr>
  </w:style>
  <w:style w:type="character" w:styleId="30">
    <w:name w:val="page number"/>
    <w:qFormat/>
    <w:uiPriority w:val="99"/>
    <w:rPr>
      <w:rFonts w:cs="Times New Roman"/>
    </w:rPr>
  </w:style>
  <w:style w:type="character" w:styleId="31">
    <w:name w:val="FollowedHyperlink"/>
    <w:qFormat/>
    <w:uiPriority w:val="99"/>
    <w:rPr>
      <w:rFonts w:cs="Times New Roman"/>
      <w:color w:val="FF6600"/>
      <w:u w:val="single"/>
    </w:rPr>
  </w:style>
  <w:style w:type="character" w:styleId="32">
    <w:name w:val="Emphasis"/>
    <w:qFormat/>
    <w:uiPriority w:val="99"/>
    <w:rPr>
      <w:rFonts w:cs="Times New Roman"/>
    </w:rPr>
  </w:style>
  <w:style w:type="character" w:styleId="33">
    <w:name w:val="HTML Definition"/>
    <w:qFormat/>
    <w:uiPriority w:val="99"/>
    <w:rPr>
      <w:rFonts w:cs="Times New Roman"/>
    </w:rPr>
  </w:style>
  <w:style w:type="character" w:styleId="34">
    <w:name w:val="HTML Acronym"/>
    <w:basedOn w:val="28"/>
    <w:unhideWhenUsed/>
    <w:qFormat/>
    <w:uiPriority w:val="99"/>
  </w:style>
  <w:style w:type="character" w:styleId="35">
    <w:name w:val="HTML Variable"/>
    <w:qFormat/>
    <w:uiPriority w:val="99"/>
    <w:rPr>
      <w:rFonts w:cs="Times New Roman"/>
    </w:rPr>
  </w:style>
  <w:style w:type="character" w:styleId="36">
    <w:name w:val="Hyperlink"/>
    <w:qFormat/>
    <w:uiPriority w:val="99"/>
    <w:rPr>
      <w:rFonts w:cs="Times New Roman"/>
      <w:color w:val="000000"/>
      <w:u w:val="none"/>
    </w:rPr>
  </w:style>
  <w:style w:type="character" w:styleId="37">
    <w:name w:val="HTML Code"/>
    <w:qFormat/>
    <w:uiPriority w:val="99"/>
    <w:rPr>
      <w:rFonts w:ascii="Courier New" w:hAnsi="Courier New" w:cs="Times New Roman"/>
      <w:sz w:val="20"/>
    </w:rPr>
  </w:style>
  <w:style w:type="character" w:styleId="38">
    <w:name w:val="annotation reference"/>
    <w:qFormat/>
    <w:uiPriority w:val="99"/>
    <w:rPr>
      <w:rFonts w:cs="Times New Roman"/>
      <w:sz w:val="21"/>
    </w:rPr>
  </w:style>
  <w:style w:type="character" w:styleId="39">
    <w:name w:val="HTML Cite"/>
    <w:qFormat/>
    <w:uiPriority w:val="99"/>
    <w:rPr>
      <w:rFonts w:cs="Times New Roman"/>
    </w:rPr>
  </w:style>
  <w:style w:type="paragraph" w:customStyle="1" w:styleId="4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样式4"/>
    <w:basedOn w:val="22"/>
    <w:link w:val="97"/>
    <w:qFormat/>
    <w:uiPriority w:val="99"/>
    <w:pPr>
      <w:pBdr>
        <w:top w:val="none" w:color="auto" w:sz="0" w:space="0"/>
        <w:left w:val="none" w:color="auto" w:sz="0" w:space="0"/>
        <w:bottom w:val="none" w:color="auto" w:sz="0" w:space="0"/>
        <w:right w:val="none" w:color="auto" w:sz="0" w:space="0"/>
      </w:pBdr>
    </w:pPr>
  </w:style>
  <w:style w:type="paragraph" w:customStyle="1" w:styleId="43">
    <w:name w:val="mt2"/>
    <w:basedOn w:val="1"/>
    <w:qFormat/>
    <w:uiPriority w:val="99"/>
    <w:pPr>
      <w:spacing w:before="300"/>
      <w:jc w:val="left"/>
    </w:pPr>
    <w:rPr>
      <w:kern w:val="0"/>
    </w:rPr>
  </w:style>
  <w:style w:type="paragraph" w:customStyle="1" w:styleId="44">
    <w:name w:val="列出段落1"/>
    <w:basedOn w:val="1"/>
    <w:qFormat/>
    <w:uiPriority w:val="99"/>
    <w:pPr>
      <w:ind w:firstLine="420" w:firstLineChars="200"/>
    </w:pPr>
    <w:rPr>
      <w:szCs w:val="24"/>
    </w:rPr>
  </w:style>
  <w:style w:type="paragraph" w:customStyle="1" w:styleId="45">
    <w:name w:val="_Style 43"/>
    <w:basedOn w:val="1"/>
    <w:qFormat/>
    <w:uiPriority w:val="99"/>
    <w:rPr>
      <w:szCs w:val="24"/>
    </w:rPr>
  </w:style>
  <w:style w:type="paragraph" w:customStyle="1" w:styleId="46">
    <w:name w:val="样式1"/>
    <w:basedOn w:val="1"/>
    <w:qFormat/>
    <w:uiPriority w:val="99"/>
    <w:rPr>
      <w:rFonts w:ascii="宋体" w:hAnsi="宋体"/>
    </w:rPr>
  </w:style>
  <w:style w:type="paragraph" w:customStyle="1" w:styleId="47">
    <w:name w:val="样式2"/>
    <w:basedOn w:val="1"/>
    <w:next w:val="46"/>
    <w:qFormat/>
    <w:uiPriority w:val="99"/>
  </w:style>
  <w:style w:type="paragraph" w:customStyle="1" w:styleId="48">
    <w:name w:val="TOC Heading1"/>
    <w:basedOn w:val="3"/>
    <w:next w:val="1"/>
    <w:qFormat/>
    <w:uiPriority w:val="99"/>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49">
    <w:name w:val="列出段落11"/>
    <w:basedOn w:val="1"/>
    <w:qFormat/>
    <w:uiPriority w:val="99"/>
    <w:pPr>
      <w:widowControl/>
      <w:ind w:firstLine="420" w:firstLineChars="200"/>
      <w:jc w:val="left"/>
    </w:pPr>
    <w:rPr>
      <w:rFonts w:ascii="宋体" w:hAnsi="宋体" w:cs="黑体"/>
      <w:kern w:val="0"/>
      <w:sz w:val="24"/>
      <w:szCs w:val="24"/>
    </w:rPr>
  </w:style>
  <w:style w:type="paragraph" w:customStyle="1" w:styleId="50">
    <w:name w:val="Char1"/>
    <w:basedOn w:val="1"/>
    <w:qFormat/>
    <w:uiPriority w:val="99"/>
    <w:pPr>
      <w:widowControl/>
      <w:spacing w:after="160" w:line="240" w:lineRule="exact"/>
      <w:jc w:val="left"/>
    </w:pPr>
    <w:rPr>
      <w:rFonts w:ascii="Book Antiqua" w:hAnsi="Book Antiqua"/>
      <w:szCs w:val="24"/>
    </w:rPr>
  </w:style>
  <w:style w:type="paragraph" w:customStyle="1" w:styleId="51">
    <w:name w:val="样式 标题 1 + 四号 居中 段前: 12 磅 段后: 12 磅 行距: 单倍行距"/>
    <w:basedOn w:val="3"/>
    <w:qFormat/>
    <w:uiPriority w:val="99"/>
    <w:pPr>
      <w:spacing w:before="240" w:after="240" w:line="240" w:lineRule="auto"/>
      <w:jc w:val="center"/>
    </w:pPr>
    <w:rPr>
      <w:sz w:val="28"/>
    </w:rPr>
  </w:style>
  <w:style w:type="paragraph" w:customStyle="1" w:styleId="52">
    <w:name w:val="List Paragraph1"/>
    <w:basedOn w:val="1"/>
    <w:qFormat/>
    <w:uiPriority w:val="99"/>
    <w:pPr>
      <w:spacing w:line="360" w:lineRule="auto"/>
      <w:ind w:firstLine="420" w:firstLineChars="200"/>
    </w:pPr>
  </w:style>
  <w:style w:type="paragraph" w:customStyle="1" w:styleId="53">
    <w:name w:val="样式3"/>
    <w:basedOn w:val="23"/>
    <w:qFormat/>
    <w:uiPriority w:val="99"/>
  </w:style>
  <w:style w:type="paragraph" w:customStyle="1" w:styleId="54">
    <w:name w:val="默认段落字体 Para Char Char Char Char"/>
    <w:basedOn w:val="1"/>
    <w:qFormat/>
    <w:uiPriority w:val="99"/>
  </w:style>
  <w:style w:type="paragraph" w:customStyle="1" w:styleId="55">
    <w:name w:val="Char Char Char Char"/>
    <w:basedOn w:val="1"/>
    <w:qFormat/>
    <w:uiPriority w:val="99"/>
    <w:pPr>
      <w:spacing w:after="160" w:line="240" w:lineRule="exact"/>
    </w:pPr>
    <w:rPr>
      <w:rFonts w:ascii="Verdana" w:hAnsi="Verdana" w:eastAsia="仿宋_GB2312"/>
      <w:lang w:eastAsia="en-US"/>
    </w:rPr>
  </w:style>
  <w:style w:type="paragraph" w:customStyle="1" w:styleId="56">
    <w:name w:val="Table Paragraph"/>
    <w:basedOn w:val="1"/>
    <w:qFormat/>
    <w:uiPriority w:val="99"/>
    <w:rPr>
      <w:rFonts w:ascii="Calibri" w:hAnsi="Calibri"/>
      <w:kern w:val="0"/>
      <w:szCs w:val="22"/>
    </w:rPr>
  </w:style>
  <w:style w:type="paragraph" w:customStyle="1" w:styleId="57">
    <w:name w:val="样式 样式 样式 样式 标题 2 + 宋体 五号 非加粗 黑色 + 段前: 6 磅 段后: 0 磅 行距: 单倍行距 + 段前:..."/>
    <w:basedOn w:val="1"/>
    <w:qFormat/>
    <w:uiPriority w:val="99"/>
    <w:pPr>
      <w:keepNext/>
      <w:keepLines/>
      <w:numPr>
        <w:ilvl w:val="1"/>
        <w:numId w:val="3"/>
      </w:numPr>
      <w:spacing w:before="240"/>
      <w:outlineLvl w:val="1"/>
    </w:pPr>
    <w:rPr>
      <w:rFonts w:ascii="宋体" w:hAnsi="宋体"/>
      <w:b/>
      <w:color w:val="000000"/>
    </w:rPr>
  </w:style>
  <w:style w:type="paragraph" w:customStyle="1" w:styleId="58">
    <w:name w:val="列出段落2"/>
    <w:basedOn w:val="1"/>
    <w:qFormat/>
    <w:uiPriority w:val="99"/>
    <w:pPr>
      <w:widowControl/>
      <w:ind w:firstLine="420" w:firstLineChars="200"/>
      <w:jc w:val="left"/>
    </w:pPr>
    <w:rPr>
      <w:rFonts w:cs="宋体"/>
      <w:kern w:val="0"/>
      <w:sz w:val="24"/>
      <w:szCs w:val="24"/>
    </w:rPr>
  </w:style>
  <w:style w:type="paragraph" w:customStyle="1" w:styleId="59">
    <w:name w:val="0"/>
    <w:basedOn w:val="1"/>
    <w:qFormat/>
    <w:uiPriority w:val="99"/>
    <w:pPr>
      <w:snapToGrid w:val="0"/>
      <w:spacing w:line="365" w:lineRule="atLeast"/>
      <w:ind w:left="1"/>
      <w:textAlignment w:val="bottom"/>
    </w:pPr>
    <w:rPr>
      <w:kern w:val="0"/>
      <w:sz w:val="20"/>
    </w:rPr>
  </w:style>
  <w:style w:type="paragraph" w:customStyle="1" w:styleId="60">
    <w:name w:val="列出段落3"/>
    <w:basedOn w:val="1"/>
    <w:qFormat/>
    <w:uiPriority w:val="99"/>
    <w:pPr>
      <w:adjustRightInd w:val="0"/>
      <w:spacing w:line="360" w:lineRule="atLeast"/>
      <w:ind w:firstLine="200" w:firstLineChars="200"/>
      <w:jc w:val="left"/>
      <w:textAlignment w:val="baseline"/>
    </w:pPr>
    <w:rPr>
      <w:kern w:val="0"/>
    </w:rPr>
  </w:style>
  <w:style w:type="paragraph" w:customStyle="1" w:styleId="61">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62">
    <w:name w:val="正文首行缩进两字符"/>
    <w:basedOn w:val="1"/>
    <w:qFormat/>
    <w:uiPriority w:val="99"/>
    <w:pPr>
      <w:spacing w:line="360" w:lineRule="auto"/>
      <w:ind w:firstLine="200" w:firstLineChars="200"/>
    </w:pPr>
    <w:rPr>
      <w:rFonts w:ascii="仿宋_GB2312" w:eastAsia="仿宋_GB2312"/>
      <w:sz w:val="32"/>
      <w:szCs w:val="32"/>
    </w:rPr>
  </w:style>
  <w:style w:type="paragraph" w:customStyle="1" w:styleId="63">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List Paragraph11"/>
    <w:basedOn w:val="1"/>
    <w:qFormat/>
    <w:uiPriority w:val="99"/>
    <w:pPr>
      <w:ind w:firstLine="420" w:firstLineChars="200"/>
    </w:pPr>
    <w:rPr>
      <w:rFonts w:ascii="Calibri" w:hAnsi="Calibri"/>
      <w:szCs w:val="22"/>
    </w:rPr>
  </w:style>
  <w:style w:type="paragraph" w:customStyle="1" w:styleId="65">
    <w:name w:val="正文_1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p0"/>
    <w:basedOn w:val="1"/>
    <w:qFormat/>
    <w:uiPriority w:val="99"/>
    <w:pPr>
      <w:widowControl/>
    </w:pPr>
    <w:rPr>
      <w:kern w:val="0"/>
      <w:szCs w:val="24"/>
    </w:rPr>
  </w:style>
  <w:style w:type="paragraph" w:customStyle="1" w:styleId="67">
    <w:name w:val="列出段落4"/>
    <w:basedOn w:val="1"/>
    <w:qFormat/>
    <w:uiPriority w:val="34"/>
    <w:pPr>
      <w:ind w:firstLine="420" w:firstLineChars="200"/>
    </w:pPr>
    <w:rPr>
      <w:szCs w:val="24"/>
    </w:rPr>
  </w:style>
  <w:style w:type="paragraph" w:customStyle="1" w:styleId="68">
    <w:name w:val="无间隔1"/>
    <w:basedOn w:val="1"/>
    <w:qFormat/>
    <w:uiPriority w:val="1"/>
    <w:rPr>
      <w:rFonts w:ascii="等线" w:hAnsi="等线" w:eastAsia="等线"/>
      <w:szCs w:val="22"/>
    </w:rPr>
  </w:style>
  <w:style w:type="character" w:customStyle="1" w:styleId="69">
    <w:name w:val="标题 1 Char"/>
    <w:basedOn w:val="28"/>
    <w:link w:val="3"/>
    <w:qFormat/>
    <w:uiPriority w:val="99"/>
    <w:rPr>
      <w:rFonts w:eastAsia="宋体" w:cs="Times New Roman"/>
      <w:b/>
      <w:kern w:val="44"/>
      <w:sz w:val="44"/>
      <w:lang w:val="en-US" w:eastAsia="zh-CN"/>
    </w:rPr>
  </w:style>
  <w:style w:type="character" w:customStyle="1" w:styleId="70">
    <w:name w:val="标题 2 Char"/>
    <w:link w:val="2"/>
    <w:qFormat/>
    <w:uiPriority w:val="99"/>
    <w:rPr>
      <w:rFonts w:ascii="Arial" w:hAnsi="Arial" w:eastAsia="黑体" w:cs="Times New Roman"/>
      <w:b/>
      <w:sz w:val="32"/>
      <w:lang w:val="en-US" w:eastAsia="zh-CN" w:bidi="ar-SA"/>
    </w:rPr>
  </w:style>
  <w:style w:type="character" w:customStyle="1" w:styleId="71">
    <w:name w:val="标题 3 Char"/>
    <w:link w:val="4"/>
    <w:qFormat/>
    <w:uiPriority w:val="99"/>
    <w:rPr>
      <w:rFonts w:cs="Times New Roman"/>
      <w:b/>
      <w:sz w:val="32"/>
    </w:rPr>
  </w:style>
  <w:style w:type="character" w:customStyle="1" w:styleId="72">
    <w:name w:val="标题 6 Char"/>
    <w:link w:val="6"/>
    <w:qFormat/>
    <w:uiPriority w:val="99"/>
    <w:rPr>
      <w:rFonts w:ascii="Cambria" w:hAnsi="Cambria" w:eastAsia="宋体" w:cs="Times New Roman"/>
      <w:b/>
      <w:bCs/>
      <w:sz w:val="24"/>
      <w:szCs w:val="24"/>
    </w:rPr>
  </w:style>
  <w:style w:type="character" w:customStyle="1" w:styleId="73">
    <w:name w:val="批注文字 Char"/>
    <w:link w:val="8"/>
    <w:qFormat/>
    <w:uiPriority w:val="99"/>
    <w:rPr>
      <w:rFonts w:cs="Times New Roman"/>
      <w:kern w:val="2"/>
      <w:sz w:val="21"/>
    </w:rPr>
  </w:style>
  <w:style w:type="character" w:customStyle="1" w:styleId="74">
    <w:name w:val="批注主题 Char"/>
    <w:link w:val="7"/>
    <w:qFormat/>
    <w:uiPriority w:val="99"/>
    <w:rPr>
      <w:rFonts w:cs="Times New Roman"/>
      <w:b/>
      <w:kern w:val="2"/>
      <w:sz w:val="21"/>
    </w:rPr>
  </w:style>
  <w:style w:type="character" w:customStyle="1" w:styleId="75">
    <w:name w:val="文档结构图 Char"/>
    <w:link w:val="10"/>
    <w:qFormat/>
    <w:uiPriority w:val="99"/>
    <w:rPr>
      <w:rFonts w:ascii="宋体" w:cs="Times New Roman"/>
      <w:kern w:val="2"/>
      <w:sz w:val="18"/>
    </w:rPr>
  </w:style>
  <w:style w:type="character" w:customStyle="1" w:styleId="76">
    <w:name w:val="正文文本 3 Char"/>
    <w:link w:val="11"/>
    <w:qFormat/>
    <w:uiPriority w:val="99"/>
    <w:rPr>
      <w:rFonts w:cs="Times New Roman"/>
      <w:kern w:val="2"/>
      <w:sz w:val="16"/>
      <w:szCs w:val="16"/>
    </w:rPr>
  </w:style>
  <w:style w:type="character" w:customStyle="1" w:styleId="77">
    <w:name w:val="正文文本缩进 Char"/>
    <w:link w:val="14"/>
    <w:qFormat/>
    <w:uiPriority w:val="99"/>
    <w:rPr>
      <w:rFonts w:cs="Times New Roman"/>
      <w:sz w:val="20"/>
      <w:szCs w:val="20"/>
    </w:rPr>
  </w:style>
  <w:style w:type="character" w:customStyle="1" w:styleId="78">
    <w:name w:val="纯文本 Char"/>
    <w:link w:val="17"/>
    <w:qFormat/>
    <w:uiPriority w:val="0"/>
    <w:rPr>
      <w:rFonts w:ascii="宋体" w:hAnsi="Courier New" w:cs="Courier New"/>
      <w:sz w:val="21"/>
      <w:szCs w:val="21"/>
    </w:rPr>
  </w:style>
  <w:style w:type="character" w:customStyle="1" w:styleId="79">
    <w:name w:val="日期 Char"/>
    <w:link w:val="18"/>
    <w:qFormat/>
    <w:uiPriority w:val="99"/>
    <w:rPr>
      <w:rFonts w:cs="Times New Roman"/>
      <w:sz w:val="20"/>
      <w:szCs w:val="20"/>
    </w:rPr>
  </w:style>
  <w:style w:type="character" w:customStyle="1" w:styleId="80">
    <w:name w:val="正文文本缩进 2 Char"/>
    <w:link w:val="19"/>
    <w:qFormat/>
    <w:uiPriority w:val="99"/>
    <w:rPr>
      <w:rFonts w:cs="Times New Roman"/>
      <w:sz w:val="20"/>
      <w:szCs w:val="20"/>
    </w:rPr>
  </w:style>
  <w:style w:type="character" w:customStyle="1" w:styleId="81">
    <w:name w:val="Balloon Text Char"/>
    <w:qFormat/>
    <w:locked/>
    <w:uiPriority w:val="99"/>
    <w:rPr>
      <w:rFonts w:cs="Times New Roman"/>
      <w:kern w:val="2"/>
      <w:sz w:val="18"/>
    </w:rPr>
  </w:style>
  <w:style w:type="character" w:customStyle="1" w:styleId="82">
    <w:name w:val="Footer Char"/>
    <w:qFormat/>
    <w:locked/>
    <w:uiPriority w:val="99"/>
    <w:rPr>
      <w:rFonts w:ascii="Times New Roman" w:hAnsi="Times New Roman" w:eastAsia="宋体" w:cs="Times New Roman"/>
      <w:kern w:val="2"/>
      <w:sz w:val="18"/>
      <w:szCs w:val="18"/>
    </w:rPr>
  </w:style>
  <w:style w:type="character" w:customStyle="1" w:styleId="83">
    <w:name w:val="页眉 Char"/>
    <w:link w:val="22"/>
    <w:qFormat/>
    <w:uiPriority w:val="99"/>
    <w:rPr>
      <w:rFonts w:eastAsia="宋体" w:cs="Times New Roman"/>
      <w:kern w:val="2"/>
      <w:sz w:val="18"/>
      <w:lang w:val="en-US" w:eastAsia="zh-CN" w:bidi="ar-SA"/>
    </w:rPr>
  </w:style>
  <w:style w:type="character" w:customStyle="1" w:styleId="84">
    <w:name w:val="副标题 Char"/>
    <w:link w:val="24"/>
    <w:qFormat/>
    <w:uiPriority w:val="99"/>
    <w:rPr>
      <w:rFonts w:ascii="Cambria" w:hAnsi="Cambria" w:cs="Times New Roman"/>
      <w:b/>
      <w:bCs/>
      <w:kern w:val="28"/>
      <w:sz w:val="32"/>
      <w:szCs w:val="32"/>
    </w:rPr>
  </w:style>
  <w:style w:type="character" w:customStyle="1" w:styleId="85">
    <w:name w:val="正文文本 2 Char"/>
    <w:link w:val="13"/>
    <w:qFormat/>
    <w:uiPriority w:val="99"/>
    <w:rPr>
      <w:rFonts w:cs="Times New Roman"/>
      <w:sz w:val="20"/>
      <w:szCs w:val="20"/>
    </w:rPr>
  </w:style>
  <w:style w:type="character" w:customStyle="1" w:styleId="86">
    <w:name w:val="标题 Char"/>
    <w:link w:val="27"/>
    <w:qFormat/>
    <w:uiPriority w:val="99"/>
    <w:rPr>
      <w:rFonts w:ascii="Cambria" w:hAnsi="Cambria" w:cs="Times New Roman"/>
      <w:b/>
      <w:kern w:val="2"/>
      <w:sz w:val="32"/>
    </w:rPr>
  </w:style>
  <w:style w:type="character" w:customStyle="1" w:styleId="87">
    <w:name w:val="批注框文本 Char"/>
    <w:link w:val="20"/>
    <w:uiPriority w:val="99"/>
    <w:rPr>
      <w:rFonts w:ascii="Times New Roman" w:hAnsi="Times New Roman" w:eastAsia="宋体" w:cs="Times New Roman"/>
      <w:kern w:val="2"/>
      <w:sz w:val="18"/>
      <w:szCs w:val="18"/>
    </w:rPr>
  </w:style>
  <w:style w:type="character" w:customStyle="1" w:styleId="88">
    <w:name w:val="bg"/>
    <w:qFormat/>
    <w:uiPriority w:val="99"/>
    <w:rPr>
      <w:rFonts w:cs="Times New Roman"/>
    </w:rPr>
  </w:style>
  <w:style w:type="character" w:customStyle="1" w:styleId="89">
    <w:name w:val="font21"/>
    <w:qFormat/>
    <w:uiPriority w:val="99"/>
    <w:rPr>
      <w:rFonts w:ascii="宋体" w:hAnsi="宋体" w:eastAsia="宋体" w:cs="宋体"/>
      <w:color w:val="000000"/>
      <w:sz w:val="21"/>
      <w:szCs w:val="21"/>
      <w:u w:val="none"/>
    </w:rPr>
  </w:style>
  <w:style w:type="character" w:customStyle="1" w:styleId="90">
    <w:name w:val="font71"/>
    <w:qFormat/>
    <w:uiPriority w:val="99"/>
    <w:rPr>
      <w:rFonts w:ascii="BatangChe" w:hAnsi="BatangChe" w:eastAsia="BatangChe" w:cs="BatangChe"/>
      <w:color w:val="000000"/>
      <w:sz w:val="20"/>
      <w:szCs w:val="20"/>
      <w:u w:val="none"/>
    </w:rPr>
  </w:style>
  <w:style w:type="character" w:customStyle="1" w:styleId="91">
    <w:name w:val="font51"/>
    <w:qFormat/>
    <w:uiPriority w:val="99"/>
    <w:rPr>
      <w:rFonts w:ascii="宋体" w:hAnsi="宋体" w:eastAsia="宋体" w:cs="宋体"/>
      <w:color w:val="000000"/>
      <w:sz w:val="21"/>
      <w:szCs w:val="21"/>
      <w:u w:val="none"/>
    </w:rPr>
  </w:style>
  <w:style w:type="character" w:customStyle="1" w:styleId="92">
    <w:name w:val="font41"/>
    <w:qFormat/>
    <w:uiPriority w:val="99"/>
    <w:rPr>
      <w:rFonts w:ascii="宋体" w:hAnsi="宋体" w:eastAsia="宋体" w:cs="宋体"/>
      <w:color w:val="000000"/>
      <w:sz w:val="20"/>
      <w:szCs w:val="20"/>
      <w:u w:val="none"/>
    </w:rPr>
  </w:style>
  <w:style w:type="character" w:customStyle="1" w:styleId="93">
    <w:name w:val="标题 2李洪 Char"/>
    <w:qFormat/>
    <w:uiPriority w:val="99"/>
    <w:rPr>
      <w:rFonts w:ascii="宋体" w:hAnsi="宋体" w:eastAsia="宋体"/>
      <w:kern w:val="2"/>
      <w:sz w:val="24"/>
      <w:lang w:val="en-US" w:eastAsia="zh-CN"/>
    </w:rPr>
  </w:style>
  <w:style w:type="character" w:customStyle="1" w:styleId="94">
    <w:name w:val="font11"/>
    <w:qFormat/>
    <w:uiPriority w:val="99"/>
    <w:rPr>
      <w:rFonts w:ascii="Times New Roman" w:hAnsi="Times New Roman" w:cs="Times New Roman"/>
      <w:color w:val="000000"/>
      <w:sz w:val="21"/>
      <w:szCs w:val="21"/>
      <w:u w:val="none"/>
    </w:rPr>
  </w:style>
  <w:style w:type="character" w:customStyle="1" w:styleId="95">
    <w:name w:val="bg2"/>
    <w:qFormat/>
    <w:uiPriority w:val="99"/>
    <w:rPr>
      <w:rFonts w:cs="Times New Roman"/>
    </w:rPr>
  </w:style>
  <w:style w:type="character" w:customStyle="1" w:styleId="96">
    <w:name w:val="px_10"/>
    <w:qFormat/>
    <w:uiPriority w:val="99"/>
    <w:rPr>
      <w:rFonts w:cs="Times New Roman"/>
    </w:rPr>
  </w:style>
  <w:style w:type="character" w:customStyle="1" w:styleId="97">
    <w:name w:val="样式4 Char Char"/>
    <w:link w:val="42"/>
    <w:qFormat/>
    <w:locked/>
    <w:uiPriority w:val="99"/>
    <w:rPr>
      <w:rFonts w:eastAsia="宋体" w:cs="Times New Roman"/>
      <w:kern w:val="2"/>
      <w:sz w:val="18"/>
      <w:lang w:val="en-US" w:eastAsia="zh-CN" w:bidi="ar-SA"/>
    </w:rPr>
  </w:style>
  <w:style w:type="character" w:customStyle="1" w:styleId="98">
    <w:name w:val="页脚 Char"/>
    <w:link w:val="21"/>
    <w:qFormat/>
    <w:uiPriority w:val="99"/>
    <w:rPr>
      <w:rFonts w:eastAsia="宋体" w:cs="Times New Roman"/>
      <w:kern w:val="2"/>
      <w:sz w:val="18"/>
      <w:lang w:val="en-US" w:eastAsia="zh-CN" w:bidi="ar-SA"/>
    </w:rPr>
  </w:style>
  <w:style w:type="character" w:customStyle="1" w:styleId="99">
    <w:name w:val="font31"/>
    <w:qFormat/>
    <w:uiPriority w:val="99"/>
    <w:rPr>
      <w:rFonts w:ascii="Symbol" w:hAnsi="Symbol" w:cs="Symbol"/>
      <w:color w:val="000000"/>
      <w:sz w:val="20"/>
      <w:szCs w:val="20"/>
      <w:u w:val="none"/>
    </w:rPr>
  </w:style>
  <w:style w:type="character" w:customStyle="1" w:styleId="100">
    <w:name w:val="标题 4 Char"/>
    <w:link w:val="5"/>
    <w:qFormat/>
    <w:uiPriority w:val="9"/>
    <w:rPr>
      <w:rFonts w:ascii="Cambria" w:hAnsi="Cambria" w:eastAsia="宋体" w:cs="Times New Roman"/>
      <w:b/>
      <w:bCs/>
      <w:sz w:val="28"/>
      <w:szCs w:val="28"/>
    </w:rPr>
  </w:style>
  <w:style w:type="character" w:customStyle="1" w:styleId="101">
    <w:name w:val="disabled"/>
    <w:qFormat/>
    <w:uiPriority w:val="0"/>
    <w:rPr>
      <w:color w:val="DDDDDD"/>
      <w:bdr w:val="single" w:color="EEEEEE" w:sz="4" w:space="0"/>
    </w:rPr>
  </w:style>
  <w:style w:type="character" w:customStyle="1" w:styleId="102">
    <w:name w:val="current"/>
    <w:qFormat/>
    <w:uiPriority w:val="0"/>
    <w:rPr>
      <w:b/>
      <w:color w:val="FFFFFF"/>
      <w:bdr w:val="single" w:color="0079D6" w:sz="4" w:space="0"/>
      <w:shd w:val="clear" w:color="auto" w:fill="0079D6"/>
    </w:rPr>
  </w:style>
  <w:style w:type="character" w:customStyle="1" w:styleId="103">
    <w:name w:val="NormalCharacter"/>
    <w:semiHidden/>
    <w:qFormat/>
    <w:uiPriority w:val="99"/>
  </w:style>
  <w:style w:type="paragraph" w:customStyle="1" w:styleId="10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BB95F3-B3B6-40C8-98F2-C461BEADF732}">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54</Pages>
  <Words>4960</Words>
  <Characters>28275</Characters>
  <Lines>235</Lines>
  <Paragraphs>66</Paragraphs>
  <TotalTime>10</TotalTime>
  <ScaleCrop>false</ScaleCrop>
  <LinksUpToDate>false</LinksUpToDate>
  <CharactersWithSpaces>33169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2020-11-04T03:45:00Z</dcterms:created>
  <dc:creator>zw</dc:creator>
  <cp:lastModifiedBy>NTKO</cp:lastModifiedBy>
  <cp:lastPrinted>2021-02-03T09:11:00Z</cp:lastPrinted>
  <dcterms:modified xsi:type="dcterms:W3CDTF">2021-02-07T03:27:00Z</dcterms:modified>
  <dc:title>土地确权资料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